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r>
        <w:rPr>
          <w:rFonts w:eastAsia="黑体"/>
          <w:sz w:val="32"/>
          <w:szCs w:val="32"/>
        </w:rPr>
        <w:t>附件1</w:t>
      </w:r>
    </w:p>
    <w:p/>
    <w:p/>
    <w:p>
      <w:pPr>
        <w:spacing w:before="120" w:after="240" w:line="500" w:lineRule="exact"/>
        <w:jc w:val="center"/>
        <w:rPr>
          <w:b/>
          <w:bCs/>
          <w:sz w:val="48"/>
          <w:szCs w:val="48"/>
        </w:rPr>
      </w:pPr>
      <w:r>
        <w:rPr>
          <w:b/>
          <w:bCs/>
          <w:sz w:val="48"/>
          <w:szCs w:val="48"/>
        </w:rPr>
        <w:t>江苏省研究生工作站申报书</w:t>
      </w:r>
    </w:p>
    <w:p>
      <w:pPr>
        <w:spacing w:before="120" w:after="240" w:line="500" w:lineRule="exact"/>
        <w:jc w:val="center"/>
        <w:rPr>
          <w:rFonts w:eastAsia="楷体"/>
          <w:b/>
          <w:bCs/>
          <w:sz w:val="44"/>
          <w:szCs w:val="44"/>
        </w:rPr>
      </w:pPr>
      <w:r>
        <w:rPr>
          <w:rFonts w:eastAsia="楷体"/>
          <w:b/>
          <w:bCs/>
          <w:sz w:val="44"/>
          <w:szCs w:val="44"/>
        </w:rPr>
        <w:t>（企业填报）</w:t>
      </w:r>
    </w:p>
    <w:p>
      <w:pPr>
        <w:spacing w:before="312" w:beforeLines="100"/>
        <w:jc w:val="center"/>
        <w:rPr>
          <w:b/>
          <w:sz w:val="72"/>
          <w:szCs w:val="72"/>
        </w:rPr>
      </w:pPr>
    </w:p>
    <w:p>
      <w:pPr>
        <w:spacing w:line="700" w:lineRule="exact"/>
        <w:ind w:left="1260" w:leftChars="600"/>
        <w:rPr>
          <w:rFonts w:eastAsia="仿宋_GB2312"/>
          <w:color w:val="FF0000"/>
          <w:spacing w:val="-14"/>
          <w:sz w:val="32"/>
          <w:szCs w:val="32"/>
          <w:u w:val="single"/>
        </w:rPr>
      </w:pPr>
    </w:p>
    <w:tbl>
      <w:tblPr>
        <w:tblStyle w:val="4"/>
        <w:tblW w:w="0" w:type="auto"/>
        <w:jc w:val="center"/>
        <w:tblLayout w:type="autofit"/>
        <w:tblCellMar>
          <w:top w:w="0" w:type="dxa"/>
          <w:left w:w="108" w:type="dxa"/>
          <w:bottom w:w="0" w:type="dxa"/>
          <w:right w:w="108" w:type="dxa"/>
        </w:tblCellMar>
      </w:tblPr>
      <w:tblGrid>
        <w:gridCol w:w="2977"/>
        <w:gridCol w:w="3969"/>
      </w:tblGrid>
      <w:tr>
        <w:trPr>
          <w:jc w:val="center"/>
        </w:trPr>
        <w:tc>
          <w:tcPr>
            <w:tcW w:w="2977" w:type="dxa"/>
            <w:shd w:val="clear" w:color="auto" w:fill="auto"/>
          </w:tcPr>
          <w:p>
            <w:pPr>
              <w:rPr>
                <w:color w:val="FF0000"/>
              </w:rPr>
            </w:pPr>
            <w:r>
              <w:rPr>
                <w:rFonts w:eastAsia="仿宋_GB2312"/>
                <w:spacing w:val="20"/>
                <w:kern w:val="0"/>
                <w:sz w:val="32"/>
                <w:szCs w:val="30"/>
                <w:fitText w:val="2880" w:id="0"/>
              </w:rPr>
              <w:t>申请设站单位全称</w:t>
            </w:r>
          </w:p>
        </w:tc>
        <w:tc>
          <w:tcPr>
            <w:tcW w:w="3969" w:type="dxa"/>
            <w:shd w:val="clear" w:color="auto" w:fill="auto"/>
          </w:tcPr>
          <w:p>
            <w:pPr>
              <w:ind w:left="960" w:hanging="960" w:hangingChars="300"/>
              <w:jc w:val="left"/>
              <w:rPr>
                <w:rFonts w:eastAsia="仿宋_GB2312"/>
                <w:sz w:val="32"/>
                <w:szCs w:val="30"/>
              </w:rPr>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rPr>
              <w:t>南京乐惠芬纳赫包装机械有限公司</w:t>
            </w:r>
            <w:r>
              <w:rPr>
                <w:rFonts w:eastAsia="仿宋_GB2312"/>
                <w:spacing w:val="-14"/>
                <w:sz w:val="32"/>
                <w:szCs w:val="32"/>
                <w:u w:val="single"/>
              </w:rPr>
              <w:t xml:space="preserve">                         </w:t>
            </w:r>
            <w:r>
              <w:rPr>
                <w:rFonts w:eastAsia="仿宋_GB2312"/>
                <w:sz w:val="32"/>
                <w:szCs w:val="30"/>
              </w:rPr>
              <w:t xml:space="preserve">                        </w:t>
            </w:r>
          </w:p>
        </w:tc>
      </w:tr>
      <w:tr>
        <w:trPr>
          <w:jc w:val="center"/>
        </w:trPr>
        <w:tc>
          <w:tcPr>
            <w:tcW w:w="2977" w:type="dxa"/>
            <w:shd w:val="clear" w:color="auto" w:fill="auto"/>
          </w:tcPr>
          <w:p>
            <w:pPr>
              <w:rPr>
                <w:color w:val="FF0000"/>
              </w:rPr>
            </w:pPr>
            <w:r>
              <w:rPr>
                <w:rFonts w:eastAsia="仿宋_GB2312"/>
                <w:spacing w:val="20"/>
                <w:kern w:val="0"/>
                <w:sz w:val="32"/>
                <w:szCs w:val="30"/>
                <w:fitText w:val="2880" w:id="1"/>
              </w:rPr>
              <w:t>单位组织机构代码</w:t>
            </w:r>
          </w:p>
        </w:tc>
        <w:tc>
          <w:tcPr>
            <w:tcW w:w="3969" w:type="dxa"/>
            <w:shd w:val="clear" w:color="auto" w:fill="auto"/>
          </w:tcPr>
          <w:p>
            <w:pPr>
              <w:jc w:val="left"/>
              <w:rPr>
                <w:color w:val="FF0000"/>
              </w:rPr>
            </w:pPr>
            <w:r>
              <w:rPr>
                <w:rFonts w:eastAsia="仿宋_GB2312"/>
                <w:sz w:val="32"/>
                <w:szCs w:val="30"/>
              </w:rPr>
              <w:t>：</w:t>
            </w:r>
            <w:r>
              <w:rPr>
                <w:rFonts w:eastAsia="仿宋_GB2312"/>
                <w:spacing w:val="-14"/>
                <w:sz w:val="32"/>
                <w:szCs w:val="32"/>
                <w:u w:val="single"/>
              </w:rPr>
              <w:t xml:space="preserve"> 91320115790449485P                         </w:t>
            </w:r>
          </w:p>
        </w:tc>
      </w:tr>
      <w:tr>
        <w:trPr>
          <w:jc w:val="center"/>
        </w:trPr>
        <w:tc>
          <w:tcPr>
            <w:tcW w:w="2977" w:type="dxa"/>
            <w:shd w:val="clear" w:color="auto" w:fill="auto"/>
          </w:tcPr>
          <w:p>
            <w:r>
              <w:rPr>
                <w:rFonts w:eastAsia="仿宋_GB2312"/>
                <w:spacing w:val="90"/>
                <w:kern w:val="0"/>
                <w:sz w:val="32"/>
                <w:szCs w:val="30"/>
                <w:fitText w:val="2880" w:id="2"/>
              </w:rPr>
              <w:t>单位所属行</w:t>
            </w:r>
            <w:r>
              <w:rPr>
                <w:rFonts w:eastAsia="仿宋_GB2312"/>
                <w:spacing w:val="30"/>
                <w:kern w:val="0"/>
                <w:sz w:val="32"/>
                <w:szCs w:val="30"/>
                <w:fitText w:val="2880" w:id="2"/>
              </w:rPr>
              <w:t>业</w:t>
            </w:r>
          </w:p>
        </w:tc>
        <w:tc>
          <w:tcPr>
            <w:tcW w:w="3969" w:type="dxa"/>
            <w:shd w:val="clear" w:color="auto" w:fill="auto"/>
          </w:tcPr>
          <w:p>
            <w:pPr>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rPr>
              <w:t>高端装备制造业</w:t>
            </w:r>
            <w:r>
              <w:rPr>
                <w:rFonts w:eastAsia="仿宋_GB2312"/>
                <w:spacing w:val="-14"/>
                <w:sz w:val="32"/>
                <w:szCs w:val="32"/>
                <w:u w:val="single"/>
              </w:rPr>
              <w:t xml:space="preserve">                        </w:t>
            </w:r>
          </w:p>
        </w:tc>
      </w:tr>
      <w:tr>
        <w:trPr>
          <w:jc w:val="center"/>
        </w:trPr>
        <w:tc>
          <w:tcPr>
            <w:tcW w:w="2977" w:type="dxa"/>
            <w:shd w:val="clear" w:color="auto" w:fill="auto"/>
          </w:tcPr>
          <w:p>
            <w:r>
              <w:rPr>
                <w:rFonts w:eastAsia="仿宋_GB2312"/>
                <w:spacing w:val="90"/>
                <w:kern w:val="0"/>
                <w:sz w:val="32"/>
                <w:szCs w:val="30"/>
                <w:fitText w:val="2880" w:id="3"/>
              </w:rPr>
              <w:t xml:space="preserve">单 位 地 </w:t>
            </w:r>
            <w:r>
              <w:rPr>
                <w:rFonts w:eastAsia="仿宋_GB2312"/>
                <w:spacing w:val="20"/>
                <w:kern w:val="0"/>
                <w:sz w:val="32"/>
                <w:szCs w:val="30"/>
                <w:fitText w:val="2880" w:id="3"/>
              </w:rPr>
              <w:t>址</w:t>
            </w:r>
          </w:p>
        </w:tc>
        <w:tc>
          <w:tcPr>
            <w:tcW w:w="3969" w:type="dxa"/>
            <w:shd w:val="clear" w:color="auto" w:fill="auto"/>
          </w:tcPr>
          <w:p>
            <w:pPr>
              <w:ind w:left="640" w:hanging="640" w:hangingChars="200"/>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rPr>
              <w:t>南京市江宁经济技术开发区将军大道641号</w:t>
            </w:r>
            <w:r>
              <w:rPr>
                <w:rFonts w:eastAsia="仿宋_GB2312"/>
                <w:spacing w:val="-14"/>
                <w:sz w:val="32"/>
                <w:szCs w:val="32"/>
                <w:u w:val="single"/>
              </w:rPr>
              <w:t xml:space="preserve">                        </w:t>
            </w:r>
          </w:p>
        </w:tc>
      </w:tr>
      <w:tr>
        <w:trPr>
          <w:jc w:val="center"/>
        </w:trPr>
        <w:tc>
          <w:tcPr>
            <w:tcW w:w="2977" w:type="dxa"/>
            <w:shd w:val="clear" w:color="auto" w:fill="auto"/>
          </w:tcPr>
          <w:p>
            <w:pPr>
              <w:rPr>
                <w:rFonts w:eastAsia="仿宋_GB2312"/>
                <w:spacing w:val="23"/>
                <w:kern w:val="0"/>
                <w:sz w:val="32"/>
                <w:szCs w:val="30"/>
              </w:rPr>
            </w:pPr>
            <w:r>
              <w:rPr>
                <w:rFonts w:eastAsia="仿宋_GB2312"/>
                <w:spacing w:val="160"/>
                <w:kern w:val="0"/>
                <w:sz w:val="32"/>
                <w:szCs w:val="30"/>
                <w:fitText w:val="2880" w:id="4"/>
              </w:rPr>
              <w:t>单位联系</w:t>
            </w:r>
            <w:r>
              <w:rPr>
                <w:rFonts w:eastAsia="仿宋_GB2312"/>
                <w:kern w:val="0"/>
                <w:sz w:val="32"/>
                <w:szCs w:val="30"/>
                <w:fitText w:val="2880" w:id="4"/>
              </w:rPr>
              <w:t>人</w:t>
            </w:r>
          </w:p>
        </w:tc>
        <w:tc>
          <w:tcPr>
            <w:tcW w:w="3969" w:type="dxa"/>
            <w:shd w:val="clear" w:color="auto" w:fill="auto"/>
          </w:tcPr>
          <w:p>
            <w:pPr>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rPr>
              <w:t>姜棋华</w:t>
            </w:r>
            <w:r>
              <w:rPr>
                <w:rFonts w:eastAsia="仿宋_GB2312"/>
                <w:spacing w:val="-14"/>
                <w:sz w:val="32"/>
                <w:szCs w:val="32"/>
                <w:u w:val="single"/>
              </w:rPr>
              <w:t xml:space="preserve">                       </w:t>
            </w:r>
          </w:p>
        </w:tc>
      </w:tr>
      <w:tr>
        <w:trPr>
          <w:jc w:val="center"/>
        </w:trPr>
        <w:tc>
          <w:tcPr>
            <w:tcW w:w="2977" w:type="dxa"/>
            <w:shd w:val="clear" w:color="auto" w:fill="auto"/>
          </w:tcPr>
          <w:p>
            <w:r>
              <w:rPr>
                <w:rFonts w:eastAsia="仿宋_GB2312"/>
                <w:spacing w:val="260"/>
                <w:kern w:val="0"/>
                <w:sz w:val="32"/>
                <w:szCs w:val="30"/>
                <w:fitText w:val="2880" w:id="5"/>
              </w:rPr>
              <w:t>联系电</w:t>
            </w:r>
            <w:r>
              <w:rPr>
                <w:rFonts w:eastAsia="仿宋_GB2312"/>
                <w:spacing w:val="20"/>
                <w:kern w:val="0"/>
                <w:sz w:val="32"/>
                <w:szCs w:val="30"/>
                <w:fitText w:val="2880" w:id="5"/>
              </w:rPr>
              <w:t>话</w:t>
            </w:r>
          </w:p>
        </w:tc>
        <w:tc>
          <w:tcPr>
            <w:tcW w:w="3969" w:type="dxa"/>
            <w:shd w:val="clear" w:color="auto" w:fill="auto"/>
          </w:tcPr>
          <w:p>
            <w:pPr>
              <w:jc w:val="left"/>
            </w:pPr>
            <w:r>
              <w:rPr>
                <w:rFonts w:eastAsia="仿宋_GB2312"/>
                <w:sz w:val="32"/>
                <w:szCs w:val="30"/>
              </w:rPr>
              <w:t>：</w:t>
            </w:r>
            <w:r>
              <w:rPr>
                <w:rFonts w:eastAsia="仿宋_GB2312"/>
                <w:spacing w:val="-14"/>
                <w:sz w:val="32"/>
                <w:szCs w:val="32"/>
                <w:u w:val="single"/>
              </w:rPr>
              <w:t xml:space="preserve">   13675178168                        </w:t>
            </w:r>
          </w:p>
        </w:tc>
      </w:tr>
      <w:tr>
        <w:trPr>
          <w:jc w:val="center"/>
        </w:trPr>
        <w:tc>
          <w:tcPr>
            <w:tcW w:w="2977" w:type="dxa"/>
            <w:shd w:val="clear" w:color="auto" w:fill="auto"/>
          </w:tcPr>
          <w:p>
            <w:pPr>
              <w:rPr>
                <w:rFonts w:eastAsia="仿宋_GB2312"/>
                <w:sz w:val="32"/>
                <w:szCs w:val="30"/>
              </w:rPr>
            </w:pPr>
            <w:r>
              <w:rPr>
                <w:rFonts w:eastAsia="仿宋_GB2312"/>
                <w:spacing w:val="260"/>
                <w:kern w:val="0"/>
                <w:sz w:val="32"/>
                <w:szCs w:val="30"/>
                <w:fitText w:val="2880" w:id="6"/>
              </w:rPr>
              <w:t>电子信</w:t>
            </w:r>
            <w:r>
              <w:rPr>
                <w:rFonts w:eastAsia="仿宋_GB2312"/>
                <w:spacing w:val="20"/>
                <w:kern w:val="0"/>
                <w:sz w:val="32"/>
                <w:szCs w:val="30"/>
                <w:fitText w:val="2880" w:id="6"/>
              </w:rPr>
              <w:t>箱</w:t>
            </w:r>
          </w:p>
        </w:tc>
        <w:tc>
          <w:tcPr>
            <w:tcW w:w="3969" w:type="dxa"/>
            <w:shd w:val="clear" w:color="auto" w:fill="auto"/>
          </w:tcPr>
          <w:p>
            <w:pPr>
              <w:jc w:val="left"/>
            </w:pPr>
            <w:r>
              <w:rPr>
                <w:rFonts w:eastAsia="仿宋_GB2312"/>
                <w:sz w:val="32"/>
                <w:szCs w:val="30"/>
              </w:rPr>
              <w:t>：</w:t>
            </w:r>
            <w:r>
              <w:rPr>
                <w:rFonts w:eastAsia="仿宋_GB2312"/>
                <w:spacing w:val="-14"/>
                <w:sz w:val="32"/>
                <w:szCs w:val="32"/>
                <w:u w:val="single"/>
              </w:rPr>
              <w:t xml:space="preserve">    jiangqh@lehui.com                         </w:t>
            </w:r>
          </w:p>
        </w:tc>
      </w:tr>
      <w:tr>
        <w:trPr>
          <w:jc w:val="center"/>
        </w:trPr>
        <w:tc>
          <w:tcPr>
            <w:tcW w:w="2977" w:type="dxa"/>
            <w:shd w:val="clear" w:color="auto" w:fill="auto"/>
          </w:tcPr>
          <w:p>
            <w:pPr>
              <w:rPr>
                <w:rFonts w:eastAsia="仿宋_GB2312"/>
                <w:sz w:val="32"/>
                <w:szCs w:val="30"/>
              </w:rPr>
            </w:pPr>
            <w:r>
              <w:rPr>
                <w:rFonts w:eastAsia="仿宋_GB2312"/>
                <w:spacing w:val="90"/>
                <w:kern w:val="0"/>
                <w:sz w:val="32"/>
                <w:szCs w:val="30"/>
                <w:fitText w:val="2880" w:id="7"/>
              </w:rPr>
              <w:t>合作高校名</w:t>
            </w:r>
            <w:r>
              <w:rPr>
                <w:rFonts w:eastAsia="仿宋_GB2312"/>
                <w:spacing w:val="30"/>
                <w:kern w:val="0"/>
                <w:sz w:val="32"/>
                <w:szCs w:val="30"/>
                <w:fitText w:val="2880" w:id="7"/>
              </w:rPr>
              <w:t>称</w:t>
            </w:r>
          </w:p>
        </w:tc>
        <w:tc>
          <w:tcPr>
            <w:tcW w:w="3969" w:type="dxa"/>
            <w:shd w:val="clear" w:color="auto" w:fill="auto"/>
          </w:tcPr>
          <w:p>
            <w:pPr>
              <w:jc w:val="left"/>
            </w:pPr>
            <w:r>
              <w:rPr>
                <w:rFonts w:eastAsia="仿宋_GB2312"/>
                <w:sz w:val="32"/>
                <w:szCs w:val="30"/>
              </w:rPr>
              <w:t>：</w:t>
            </w:r>
            <w:r>
              <w:rPr>
                <w:rFonts w:eastAsia="仿宋_GB2312"/>
                <w:spacing w:val="-14"/>
                <w:sz w:val="32"/>
                <w:szCs w:val="32"/>
                <w:u w:val="single"/>
              </w:rPr>
              <w:t xml:space="preserve">        东南大学                  </w:t>
            </w:r>
          </w:p>
        </w:tc>
      </w:tr>
    </w:tbl>
    <w:p>
      <w:pPr>
        <w:spacing w:before="312" w:beforeLines="100"/>
        <w:jc w:val="center"/>
        <w:rPr>
          <w:color w:val="FF0000"/>
        </w:rPr>
      </w:pPr>
    </w:p>
    <w:p>
      <w:pPr>
        <w:spacing w:before="312" w:beforeLines="100"/>
        <w:jc w:val="center"/>
      </w:pPr>
    </w:p>
    <w:tbl>
      <w:tblPr>
        <w:tblStyle w:val="4"/>
        <w:tblW w:w="0" w:type="auto"/>
        <w:jc w:val="center"/>
        <w:tblLayout w:type="fixed"/>
        <w:tblCellMar>
          <w:top w:w="0" w:type="dxa"/>
          <w:left w:w="108" w:type="dxa"/>
          <w:bottom w:w="0" w:type="dxa"/>
          <w:right w:w="108" w:type="dxa"/>
        </w:tblCellMar>
      </w:tblPr>
      <w:tblGrid>
        <w:gridCol w:w="4140"/>
        <w:gridCol w:w="1260"/>
      </w:tblGrid>
      <w:tr>
        <w:trPr>
          <w:jc w:val="center"/>
        </w:trPr>
        <w:tc>
          <w:tcPr>
            <w:tcW w:w="4140" w:type="dxa"/>
          </w:tcPr>
          <w:p>
            <w:pPr>
              <w:adjustRightInd w:val="0"/>
              <w:snapToGrid w:val="0"/>
              <w:spacing w:line="480" w:lineRule="exact"/>
              <w:jc w:val="distribute"/>
              <w:rPr>
                <w:sz w:val="30"/>
                <w:szCs w:val="30"/>
              </w:rPr>
            </w:pPr>
            <w:r>
              <w:rPr>
                <w:sz w:val="30"/>
                <w:szCs w:val="30"/>
              </w:rPr>
              <w:t>江苏省教育厅</w:t>
            </w:r>
          </w:p>
        </w:tc>
        <w:tc>
          <w:tcPr>
            <w:tcW w:w="1260" w:type="dxa"/>
            <w:vMerge w:val="restart"/>
            <w:vAlign w:val="center"/>
          </w:tcPr>
          <w:p>
            <w:pPr>
              <w:adjustRightInd w:val="0"/>
              <w:snapToGrid w:val="0"/>
              <w:spacing w:line="480" w:lineRule="exact"/>
              <w:jc w:val="center"/>
              <w:rPr>
                <w:sz w:val="30"/>
                <w:szCs w:val="30"/>
              </w:rPr>
            </w:pPr>
            <w:r>
              <w:rPr>
                <w:sz w:val="30"/>
                <w:szCs w:val="30"/>
              </w:rPr>
              <w:t>制表</w:t>
            </w:r>
          </w:p>
        </w:tc>
      </w:tr>
      <w:tr>
        <w:trPr>
          <w:jc w:val="center"/>
        </w:trPr>
        <w:tc>
          <w:tcPr>
            <w:tcW w:w="4140" w:type="dxa"/>
          </w:tcPr>
          <w:p>
            <w:pPr>
              <w:adjustRightInd w:val="0"/>
              <w:snapToGrid w:val="0"/>
              <w:spacing w:line="480" w:lineRule="exact"/>
              <w:jc w:val="distribute"/>
              <w:rPr>
                <w:sz w:val="30"/>
                <w:szCs w:val="30"/>
              </w:rPr>
            </w:pPr>
            <w:r>
              <w:rPr>
                <w:sz w:val="30"/>
                <w:szCs w:val="30"/>
              </w:rPr>
              <w:t>江苏省科学技术厅</w:t>
            </w:r>
          </w:p>
        </w:tc>
        <w:tc>
          <w:tcPr>
            <w:tcW w:w="1260" w:type="dxa"/>
            <w:vMerge w:val="continue"/>
            <w:vAlign w:val="center"/>
          </w:tcPr>
          <w:p>
            <w:pPr>
              <w:widowControl/>
              <w:jc w:val="left"/>
              <w:rPr>
                <w:sz w:val="30"/>
                <w:szCs w:val="30"/>
              </w:rPr>
            </w:pPr>
          </w:p>
        </w:tc>
      </w:tr>
    </w:tbl>
    <w:p>
      <w:pPr>
        <w:adjustRightInd w:val="0"/>
        <w:snapToGrid w:val="0"/>
        <w:spacing w:line="480" w:lineRule="exact"/>
        <w:jc w:val="center"/>
        <w:rPr>
          <w:rFonts w:eastAsia="方正小标宋简体"/>
          <w:sz w:val="44"/>
          <w:szCs w:val="44"/>
        </w:rPr>
      </w:pPr>
    </w:p>
    <w:p>
      <w:pPr>
        <w:spacing w:before="156" w:beforeLines="50" w:line="380" w:lineRule="exact"/>
        <w:rPr>
          <w:szCs w:val="21"/>
        </w:rPr>
        <w:sectPr>
          <w:footerReference r:id="rId5" w:type="first"/>
          <w:footerReference r:id="rId3" w:type="default"/>
          <w:footerReference r:id="rId4" w:type="even"/>
          <w:pgSz w:w="11906" w:h="16838"/>
          <w:pgMar w:top="1418" w:right="1531" w:bottom="1701" w:left="1531" w:header="851" w:footer="992" w:gutter="0"/>
          <w:cols w:space="425" w:num="1"/>
          <w:docGrid w:type="lines" w:linePitch="312" w:charSpace="0"/>
        </w:sectPr>
      </w:pPr>
    </w:p>
    <w:tbl>
      <w:tblPr>
        <w:tblStyle w:val="4"/>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354"/>
        <w:gridCol w:w="7"/>
        <w:gridCol w:w="56"/>
        <w:gridCol w:w="851"/>
        <w:gridCol w:w="1238"/>
        <w:gridCol w:w="888"/>
        <w:gridCol w:w="567"/>
        <w:gridCol w:w="1080"/>
        <w:gridCol w:w="19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27" w:type="dxa"/>
            <w:vAlign w:val="center"/>
          </w:tcPr>
          <w:p>
            <w:pPr>
              <w:spacing w:line="360" w:lineRule="exact"/>
              <w:jc w:val="center"/>
              <w:rPr>
                <w:rFonts w:eastAsia="仿宋_GB2312"/>
                <w:sz w:val="24"/>
              </w:rPr>
            </w:pPr>
            <w:r>
              <w:rPr>
                <w:rFonts w:eastAsia="仿宋_GB2312"/>
                <w:sz w:val="24"/>
              </w:rPr>
              <w:t>申请设站</w:t>
            </w:r>
          </w:p>
          <w:p>
            <w:pPr>
              <w:spacing w:line="360" w:lineRule="exact"/>
              <w:jc w:val="center"/>
              <w:rPr>
                <w:rFonts w:eastAsia="仿宋_GB2312"/>
                <w:sz w:val="24"/>
              </w:rPr>
            </w:pPr>
            <w:r>
              <w:rPr>
                <w:rFonts w:eastAsia="仿宋_GB2312"/>
                <w:sz w:val="24"/>
              </w:rPr>
              <w:t>单位名称</w:t>
            </w:r>
          </w:p>
        </w:tc>
        <w:tc>
          <w:tcPr>
            <w:tcW w:w="7926" w:type="dxa"/>
            <w:gridSpan w:val="10"/>
            <w:vAlign w:val="center"/>
          </w:tcPr>
          <w:p>
            <w:pPr>
              <w:spacing w:line="360" w:lineRule="exact"/>
              <w:jc w:val="center"/>
              <w:rPr>
                <w:rFonts w:eastAsia="仿宋_GB2312"/>
                <w:sz w:val="24"/>
              </w:rPr>
            </w:pPr>
            <w:r>
              <w:rPr>
                <w:rFonts w:hint="eastAsia" w:eastAsia="仿宋_GB2312"/>
                <w:sz w:val="24"/>
              </w:rPr>
              <w:t>南京乐惠芬纳赫包装机械有限公司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27" w:type="dxa"/>
            <w:vAlign w:val="center"/>
          </w:tcPr>
          <w:p>
            <w:pPr>
              <w:spacing w:line="360" w:lineRule="exact"/>
              <w:jc w:val="center"/>
              <w:rPr>
                <w:rFonts w:eastAsia="仿宋_GB2312"/>
                <w:sz w:val="24"/>
              </w:rPr>
            </w:pPr>
            <w:r>
              <w:rPr>
                <w:rFonts w:eastAsia="仿宋_GB2312"/>
                <w:sz w:val="24"/>
              </w:rPr>
              <w:t>企业规模</w:t>
            </w:r>
          </w:p>
        </w:tc>
        <w:tc>
          <w:tcPr>
            <w:tcW w:w="1361" w:type="dxa"/>
            <w:gridSpan w:val="2"/>
            <w:vAlign w:val="center"/>
          </w:tcPr>
          <w:p>
            <w:pPr>
              <w:spacing w:line="360" w:lineRule="exact"/>
              <w:jc w:val="center"/>
              <w:rPr>
                <w:rFonts w:eastAsia="仿宋_GB2312"/>
                <w:sz w:val="24"/>
              </w:rPr>
            </w:pPr>
            <w:r>
              <w:rPr>
                <w:rFonts w:hint="eastAsia" w:eastAsia="仿宋_GB2312"/>
                <w:sz w:val="24"/>
              </w:rPr>
              <w:t>中小企业</w:t>
            </w:r>
          </w:p>
        </w:tc>
        <w:tc>
          <w:tcPr>
            <w:tcW w:w="4680" w:type="dxa"/>
            <w:gridSpan w:val="6"/>
            <w:vAlign w:val="center"/>
          </w:tcPr>
          <w:p>
            <w:pPr>
              <w:spacing w:line="360" w:lineRule="exact"/>
              <w:jc w:val="center"/>
              <w:rPr>
                <w:rFonts w:eastAsia="仿宋_GB2312"/>
                <w:sz w:val="24"/>
              </w:rPr>
            </w:pPr>
            <w:r>
              <w:rPr>
                <w:rFonts w:eastAsia="仿宋_GB2312"/>
                <w:sz w:val="24"/>
              </w:rPr>
              <w:t>是否公益性企业</w:t>
            </w:r>
          </w:p>
        </w:tc>
        <w:tc>
          <w:tcPr>
            <w:tcW w:w="1885" w:type="dxa"/>
            <w:gridSpan w:val="2"/>
            <w:vAlign w:val="center"/>
          </w:tcPr>
          <w:p>
            <w:pPr>
              <w:spacing w:line="360" w:lineRule="exact"/>
              <w:jc w:val="center"/>
              <w:rPr>
                <w:rFonts w:eastAsia="仿宋_GB2312"/>
                <w:sz w:val="24"/>
              </w:rPr>
            </w:pPr>
            <w:r>
              <w:rPr>
                <w:rFonts w:hint="eastAsia"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27" w:type="dxa"/>
            <w:vAlign w:val="center"/>
          </w:tcPr>
          <w:p>
            <w:pPr>
              <w:spacing w:line="360" w:lineRule="exact"/>
              <w:jc w:val="center"/>
              <w:rPr>
                <w:rFonts w:eastAsia="仿宋_GB2312"/>
                <w:sz w:val="24"/>
              </w:rPr>
            </w:pPr>
            <w:r>
              <w:rPr>
                <w:rFonts w:eastAsia="仿宋_GB2312"/>
                <w:sz w:val="24"/>
              </w:rPr>
              <w:t>企业信用</w:t>
            </w:r>
          </w:p>
          <w:p>
            <w:pPr>
              <w:spacing w:line="360" w:lineRule="exact"/>
              <w:jc w:val="center"/>
              <w:rPr>
                <w:rFonts w:eastAsia="仿宋_GB2312"/>
                <w:sz w:val="24"/>
              </w:rPr>
            </w:pPr>
            <w:r>
              <w:rPr>
                <w:rFonts w:eastAsia="仿宋_GB2312"/>
                <w:sz w:val="24"/>
              </w:rPr>
              <w:t>情况</w:t>
            </w:r>
          </w:p>
        </w:tc>
        <w:tc>
          <w:tcPr>
            <w:tcW w:w="1361" w:type="dxa"/>
            <w:gridSpan w:val="2"/>
            <w:vAlign w:val="center"/>
          </w:tcPr>
          <w:p>
            <w:pPr>
              <w:spacing w:line="360" w:lineRule="exact"/>
              <w:jc w:val="center"/>
              <w:rPr>
                <w:rFonts w:eastAsia="仿宋_GB2312"/>
                <w:sz w:val="24"/>
              </w:rPr>
            </w:pPr>
            <w:r>
              <w:rPr>
                <w:rFonts w:hint="eastAsia" w:eastAsia="仿宋_GB2312"/>
                <w:sz w:val="24"/>
              </w:rPr>
              <w:t>良好</w:t>
            </w:r>
          </w:p>
        </w:tc>
        <w:tc>
          <w:tcPr>
            <w:tcW w:w="4680" w:type="dxa"/>
            <w:gridSpan w:val="6"/>
            <w:vAlign w:val="center"/>
          </w:tcPr>
          <w:p>
            <w:pPr>
              <w:spacing w:line="360" w:lineRule="exact"/>
              <w:jc w:val="center"/>
              <w:rPr>
                <w:rFonts w:eastAsia="仿宋_GB2312"/>
                <w:sz w:val="24"/>
              </w:rPr>
            </w:pPr>
            <w:r>
              <w:rPr>
                <w:rFonts w:eastAsia="仿宋_GB2312"/>
                <w:sz w:val="24"/>
              </w:rPr>
              <w:t>上年度研发经费投入（万）</w:t>
            </w:r>
          </w:p>
        </w:tc>
        <w:tc>
          <w:tcPr>
            <w:tcW w:w="1885" w:type="dxa"/>
            <w:gridSpan w:val="2"/>
            <w:vAlign w:val="center"/>
          </w:tcPr>
          <w:p>
            <w:pPr>
              <w:spacing w:line="360" w:lineRule="exact"/>
              <w:jc w:val="center"/>
              <w:rPr>
                <w:rFonts w:eastAsia="仿宋_GB2312"/>
                <w:sz w:val="24"/>
              </w:rPr>
            </w:pPr>
            <w:r>
              <w:rPr>
                <w:rFonts w:eastAsia="仿宋_GB2312"/>
                <w:sz w:val="24"/>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27" w:type="dxa"/>
            <w:vMerge w:val="restart"/>
            <w:vAlign w:val="center"/>
          </w:tcPr>
          <w:p>
            <w:pPr>
              <w:jc w:val="center"/>
              <w:rPr>
                <w:rFonts w:eastAsia="仿宋_GB2312"/>
                <w:sz w:val="24"/>
              </w:rPr>
            </w:pPr>
            <w:r>
              <w:rPr>
                <w:rFonts w:eastAsia="仿宋_GB2312"/>
                <w:sz w:val="24"/>
              </w:rPr>
              <w:t>专职研发</w:t>
            </w:r>
          </w:p>
          <w:p>
            <w:pPr>
              <w:jc w:val="center"/>
              <w:rPr>
                <w:rFonts w:eastAsia="仿宋_GB2312"/>
                <w:sz w:val="24"/>
              </w:rPr>
            </w:pPr>
            <w:r>
              <w:rPr>
                <w:rFonts w:eastAsia="仿宋_GB2312"/>
                <w:sz w:val="24"/>
              </w:rPr>
              <w:t>人员(人)</w:t>
            </w:r>
          </w:p>
        </w:tc>
        <w:tc>
          <w:tcPr>
            <w:tcW w:w="1361" w:type="dxa"/>
            <w:gridSpan w:val="2"/>
            <w:vMerge w:val="restart"/>
            <w:vAlign w:val="center"/>
          </w:tcPr>
          <w:p>
            <w:pPr>
              <w:jc w:val="center"/>
              <w:rPr>
                <w:rFonts w:eastAsia="仿宋_GB2312"/>
                <w:sz w:val="24"/>
              </w:rPr>
            </w:pPr>
            <w:r>
              <w:rPr>
                <w:rFonts w:eastAsia="仿宋_GB2312"/>
                <w:sz w:val="24"/>
              </w:rPr>
              <w:t>30</w:t>
            </w:r>
          </w:p>
        </w:tc>
        <w:tc>
          <w:tcPr>
            <w:tcW w:w="907" w:type="dxa"/>
            <w:gridSpan w:val="2"/>
            <w:vMerge w:val="restart"/>
            <w:vAlign w:val="center"/>
          </w:tcPr>
          <w:p>
            <w:pPr>
              <w:jc w:val="center"/>
              <w:rPr>
                <w:rFonts w:eastAsia="仿宋_GB2312"/>
                <w:sz w:val="24"/>
              </w:rPr>
            </w:pPr>
            <w:r>
              <w:rPr>
                <w:rFonts w:eastAsia="仿宋_GB2312"/>
                <w:sz w:val="24"/>
              </w:rPr>
              <w:t>其中</w:t>
            </w:r>
          </w:p>
        </w:tc>
        <w:tc>
          <w:tcPr>
            <w:tcW w:w="1238" w:type="dxa"/>
            <w:vAlign w:val="center"/>
          </w:tcPr>
          <w:p>
            <w:pPr>
              <w:jc w:val="center"/>
              <w:rPr>
                <w:rFonts w:eastAsia="仿宋_GB2312"/>
                <w:sz w:val="24"/>
              </w:rPr>
            </w:pPr>
            <w:r>
              <w:rPr>
                <w:rFonts w:eastAsia="仿宋_GB2312"/>
                <w:sz w:val="24"/>
              </w:rPr>
              <w:t>博士</w:t>
            </w:r>
          </w:p>
        </w:tc>
        <w:tc>
          <w:tcPr>
            <w:tcW w:w="1455" w:type="dxa"/>
            <w:gridSpan w:val="2"/>
            <w:vAlign w:val="center"/>
          </w:tcPr>
          <w:p>
            <w:pPr>
              <w:jc w:val="center"/>
              <w:rPr>
                <w:rFonts w:eastAsia="仿宋_GB2312"/>
                <w:sz w:val="24"/>
              </w:rPr>
            </w:pPr>
          </w:p>
        </w:tc>
        <w:tc>
          <w:tcPr>
            <w:tcW w:w="1276" w:type="dxa"/>
            <w:gridSpan w:val="2"/>
            <w:vAlign w:val="center"/>
          </w:tcPr>
          <w:p>
            <w:pPr>
              <w:jc w:val="center"/>
              <w:rPr>
                <w:rFonts w:eastAsia="仿宋_GB2312"/>
                <w:sz w:val="24"/>
              </w:rPr>
            </w:pPr>
            <w:r>
              <w:rPr>
                <w:rFonts w:eastAsia="仿宋_GB2312"/>
                <w:sz w:val="24"/>
              </w:rPr>
              <w:t>硕士</w:t>
            </w:r>
          </w:p>
        </w:tc>
        <w:tc>
          <w:tcPr>
            <w:tcW w:w="1689" w:type="dxa"/>
            <w:vAlign w:val="center"/>
          </w:tcPr>
          <w:p>
            <w:pPr>
              <w:rPr>
                <w:rFonts w:eastAsia="仿宋_GB2312"/>
                <w:sz w:val="24"/>
              </w:rPr>
            </w:pPr>
            <w:r>
              <w:rPr>
                <w:rFonts w:hint="eastAsia"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27" w:type="dxa"/>
            <w:vMerge w:val="continue"/>
            <w:vAlign w:val="center"/>
          </w:tcPr>
          <w:p>
            <w:pPr>
              <w:spacing w:line="360" w:lineRule="exact"/>
              <w:jc w:val="center"/>
              <w:rPr>
                <w:rFonts w:eastAsia="仿宋_GB2312"/>
                <w:sz w:val="24"/>
              </w:rPr>
            </w:pPr>
          </w:p>
        </w:tc>
        <w:tc>
          <w:tcPr>
            <w:tcW w:w="1361" w:type="dxa"/>
            <w:gridSpan w:val="2"/>
            <w:vMerge w:val="continue"/>
            <w:vAlign w:val="center"/>
          </w:tcPr>
          <w:p>
            <w:pPr>
              <w:spacing w:line="360" w:lineRule="exact"/>
              <w:jc w:val="center"/>
              <w:rPr>
                <w:rFonts w:eastAsia="仿宋_GB2312"/>
                <w:sz w:val="24"/>
              </w:rPr>
            </w:pPr>
          </w:p>
        </w:tc>
        <w:tc>
          <w:tcPr>
            <w:tcW w:w="907" w:type="dxa"/>
            <w:gridSpan w:val="2"/>
            <w:vMerge w:val="continue"/>
            <w:vAlign w:val="center"/>
          </w:tcPr>
          <w:p>
            <w:pPr>
              <w:spacing w:line="360" w:lineRule="exact"/>
              <w:jc w:val="center"/>
              <w:rPr>
                <w:rFonts w:eastAsia="仿宋_GB2312"/>
                <w:sz w:val="24"/>
              </w:rPr>
            </w:pPr>
          </w:p>
        </w:tc>
        <w:tc>
          <w:tcPr>
            <w:tcW w:w="1238" w:type="dxa"/>
            <w:vAlign w:val="center"/>
          </w:tcPr>
          <w:p>
            <w:pPr>
              <w:ind w:left="12"/>
              <w:jc w:val="center"/>
              <w:rPr>
                <w:rFonts w:eastAsia="仿宋_GB2312"/>
                <w:sz w:val="24"/>
              </w:rPr>
            </w:pPr>
            <w:r>
              <w:rPr>
                <w:rFonts w:eastAsia="仿宋_GB2312"/>
                <w:sz w:val="24"/>
              </w:rPr>
              <w:t>高级职称</w:t>
            </w:r>
          </w:p>
        </w:tc>
        <w:tc>
          <w:tcPr>
            <w:tcW w:w="1455" w:type="dxa"/>
            <w:gridSpan w:val="2"/>
            <w:vAlign w:val="center"/>
          </w:tcPr>
          <w:p>
            <w:pPr>
              <w:ind w:left="12"/>
              <w:jc w:val="center"/>
              <w:rPr>
                <w:rFonts w:eastAsia="仿宋_GB2312"/>
                <w:sz w:val="24"/>
              </w:rPr>
            </w:pPr>
            <w:r>
              <w:rPr>
                <w:rFonts w:hint="eastAsia" w:eastAsia="仿宋_GB2312"/>
                <w:sz w:val="24"/>
              </w:rPr>
              <w:t>1</w:t>
            </w:r>
          </w:p>
        </w:tc>
        <w:tc>
          <w:tcPr>
            <w:tcW w:w="1276" w:type="dxa"/>
            <w:gridSpan w:val="2"/>
            <w:vAlign w:val="center"/>
          </w:tcPr>
          <w:p>
            <w:pPr>
              <w:ind w:left="12"/>
              <w:jc w:val="center"/>
              <w:rPr>
                <w:rFonts w:eastAsia="仿宋_GB2312"/>
                <w:sz w:val="24"/>
              </w:rPr>
            </w:pPr>
            <w:r>
              <w:rPr>
                <w:rFonts w:eastAsia="仿宋_GB2312"/>
                <w:sz w:val="24"/>
              </w:rPr>
              <w:t>中级职称</w:t>
            </w:r>
          </w:p>
        </w:tc>
        <w:tc>
          <w:tcPr>
            <w:tcW w:w="168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53" w:type="dxa"/>
            <w:gridSpan w:val="11"/>
            <w:vAlign w:val="center"/>
          </w:tcPr>
          <w:p>
            <w:pPr>
              <w:jc w:val="center"/>
              <w:rPr>
                <w:rFonts w:eastAsia="仿宋_GB2312"/>
                <w:b/>
                <w:sz w:val="24"/>
              </w:rPr>
            </w:pPr>
            <w:r>
              <w:rPr>
                <w:rFonts w:eastAsia="仿宋_GB2312"/>
                <w:b/>
                <w:sz w:val="24"/>
              </w:rPr>
              <w:t>市、县级科技创新平台情况</w:t>
            </w:r>
          </w:p>
          <w:p>
            <w:pPr>
              <w:jc w:val="center"/>
              <w:rPr>
                <w:rFonts w:eastAsia="仿宋_GB2312"/>
                <w:sz w:val="24"/>
              </w:rPr>
            </w:pPr>
            <w:r>
              <w:rPr>
                <w:rFonts w:eastAsia="仿宋_GB2312"/>
                <w:sz w:val="24"/>
              </w:rPr>
              <w:t>（重点实验室、工程技术研究中心、企业技术中心等，需提供证明材料）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jc w:val="center"/>
        </w:trPr>
        <w:tc>
          <w:tcPr>
            <w:tcW w:w="2981" w:type="dxa"/>
            <w:gridSpan w:val="2"/>
            <w:vAlign w:val="center"/>
          </w:tcPr>
          <w:p>
            <w:pPr>
              <w:jc w:val="center"/>
              <w:rPr>
                <w:rFonts w:eastAsia="仿宋_GB2312"/>
                <w:sz w:val="24"/>
              </w:rPr>
            </w:pPr>
            <w:r>
              <w:rPr>
                <w:rFonts w:eastAsia="仿宋_GB2312"/>
                <w:sz w:val="24"/>
              </w:rPr>
              <w:t>平台名称</w:t>
            </w:r>
          </w:p>
        </w:tc>
        <w:tc>
          <w:tcPr>
            <w:tcW w:w="3040" w:type="dxa"/>
            <w:gridSpan w:val="5"/>
            <w:vAlign w:val="center"/>
          </w:tcPr>
          <w:p>
            <w:pPr>
              <w:jc w:val="center"/>
              <w:rPr>
                <w:rFonts w:eastAsia="仿宋_GB2312"/>
                <w:sz w:val="24"/>
              </w:rPr>
            </w:pPr>
            <w:r>
              <w:rPr>
                <w:rFonts w:eastAsia="仿宋_GB2312"/>
                <w:sz w:val="24"/>
              </w:rPr>
              <w:t>平台类别、级别</w:t>
            </w:r>
          </w:p>
        </w:tc>
        <w:tc>
          <w:tcPr>
            <w:tcW w:w="1843" w:type="dxa"/>
            <w:gridSpan w:val="3"/>
            <w:vAlign w:val="center"/>
          </w:tcPr>
          <w:p>
            <w:pPr>
              <w:jc w:val="center"/>
              <w:rPr>
                <w:rFonts w:eastAsia="仿宋_GB2312"/>
                <w:sz w:val="24"/>
              </w:rPr>
            </w:pPr>
            <w:r>
              <w:rPr>
                <w:rFonts w:eastAsia="仿宋_GB2312"/>
                <w:sz w:val="24"/>
              </w:rPr>
              <w:t>批准单位</w:t>
            </w:r>
          </w:p>
        </w:tc>
        <w:tc>
          <w:tcPr>
            <w:tcW w:w="1689" w:type="dxa"/>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2981" w:type="dxa"/>
            <w:gridSpan w:val="2"/>
            <w:vAlign w:val="center"/>
          </w:tcPr>
          <w:p>
            <w:pPr>
              <w:spacing w:line="360" w:lineRule="exact"/>
              <w:jc w:val="center"/>
              <w:rPr>
                <w:rFonts w:eastAsia="仿宋_GB2312"/>
                <w:sz w:val="24"/>
              </w:rPr>
            </w:pPr>
            <w:r>
              <w:rPr>
                <w:rFonts w:hint="eastAsia" w:eastAsia="仿宋_GB2312"/>
                <w:sz w:val="24"/>
              </w:rPr>
              <w:t>酒业包装装备</w:t>
            </w:r>
          </w:p>
          <w:p>
            <w:pPr>
              <w:spacing w:line="360" w:lineRule="exact"/>
              <w:jc w:val="center"/>
              <w:rPr>
                <w:rFonts w:eastAsia="仿宋_GB2312"/>
                <w:sz w:val="24"/>
              </w:rPr>
            </w:pPr>
            <w:r>
              <w:rPr>
                <w:rFonts w:hint="eastAsia" w:eastAsia="仿宋_GB2312"/>
                <w:sz w:val="24"/>
              </w:rPr>
              <w:t>工程技术研究中心</w:t>
            </w:r>
          </w:p>
        </w:tc>
        <w:tc>
          <w:tcPr>
            <w:tcW w:w="3040" w:type="dxa"/>
            <w:gridSpan w:val="5"/>
            <w:vAlign w:val="center"/>
          </w:tcPr>
          <w:p>
            <w:pPr>
              <w:spacing w:line="360" w:lineRule="exact"/>
              <w:jc w:val="center"/>
              <w:rPr>
                <w:rFonts w:eastAsia="仿宋_GB2312"/>
                <w:sz w:val="24"/>
              </w:rPr>
            </w:pPr>
            <w:r>
              <w:rPr>
                <w:rFonts w:hint="eastAsia" w:eastAsia="仿宋_GB2312"/>
                <w:sz w:val="24"/>
              </w:rPr>
              <w:t>市级</w:t>
            </w:r>
          </w:p>
        </w:tc>
        <w:tc>
          <w:tcPr>
            <w:tcW w:w="1843" w:type="dxa"/>
            <w:gridSpan w:val="3"/>
            <w:vAlign w:val="center"/>
          </w:tcPr>
          <w:p>
            <w:pPr>
              <w:spacing w:line="360" w:lineRule="exact"/>
              <w:jc w:val="center"/>
              <w:rPr>
                <w:rFonts w:eastAsia="仿宋_GB2312"/>
                <w:sz w:val="24"/>
              </w:rPr>
            </w:pPr>
            <w:r>
              <w:rPr>
                <w:rFonts w:hint="eastAsia" w:eastAsia="仿宋_GB2312"/>
                <w:sz w:val="24"/>
              </w:rPr>
              <w:t>南京市科学技术局</w:t>
            </w:r>
          </w:p>
        </w:tc>
        <w:tc>
          <w:tcPr>
            <w:tcW w:w="1689" w:type="dxa"/>
            <w:vAlign w:val="center"/>
          </w:tcPr>
          <w:p>
            <w:pPr>
              <w:spacing w:line="360" w:lineRule="exact"/>
              <w:jc w:val="center"/>
              <w:rPr>
                <w:rFonts w:eastAsia="仿宋_GB2312"/>
                <w:sz w:val="24"/>
              </w:rPr>
            </w:pPr>
            <w:r>
              <w:rPr>
                <w:rFonts w:hint="eastAsia" w:eastAsia="仿宋_GB2312"/>
                <w:sz w:val="24"/>
              </w:rPr>
              <w:t>2020年6月22日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2981" w:type="dxa"/>
            <w:gridSpan w:val="2"/>
            <w:vAlign w:val="center"/>
          </w:tcPr>
          <w:p>
            <w:pPr>
              <w:spacing w:line="360" w:lineRule="exact"/>
              <w:jc w:val="center"/>
              <w:rPr>
                <w:rFonts w:eastAsia="仿宋_GB2312"/>
                <w:sz w:val="24"/>
              </w:rPr>
            </w:pPr>
            <w:r>
              <w:rPr>
                <w:rFonts w:hint="eastAsia" w:eastAsia="仿宋_GB2312"/>
                <w:sz w:val="24"/>
              </w:rPr>
              <w:t>企业技术中心</w:t>
            </w:r>
          </w:p>
        </w:tc>
        <w:tc>
          <w:tcPr>
            <w:tcW w:w="3040" w:type="dxa"/>
            <w:gridSpan w:val="5"/>
            <w:vAlign w:val="center"/>
          </w:tcPr>
          <w:p>
            <w:pPr>
              <w:spacing w:line="360" w:lineRule="exact"/>
              <w:jc w:val="center"/>
              <w:rPr>
                <w:rFonts w:eastAsia="仿宋_GB2312"/>
                <w:sz w:val="24"/>
              </w:rPr>
            </w:pPr>
            <w:r>
              <w:rPr>
                <w:rFonts w:hint="eastAsia" w:eastAsia="仿宋_GB2312"/>
                <w:sz w:val="24"/>
              </w:rPr>
              <w:t>市级</w:t>
            </w:r>
          </w:p>
        </w:tc>
        <w:tc>
          <w:tcPr>
            <w:tcW w:w="1843" w:type="dxa"/>
            <w:gridSpan w:val="3"/>
            <w:vAlign w:val="center"/>
          </w:tcPr>
          <w:p>
            <w:pPr>
              <w:spacing w:line="360" w:lineRule="exact"/>
              <w:jc w:val="center"/>
              <w:rPr>
                <w:rFonts w:eastAsia="仿宋_GB2312"/>
                <w:sz w:val="24"/>
              </w:rPr>
            </w:pPr>
            <w:r>
              <w:rPr>
                <w:rFonts w:hint="eastAsia" w:eastAsia="仿宋_GB2312"/>
                <w:sz w:val="24"/>
              </w:rPr>
              <w:t>南京市经济和信息化委员会</w:t>
            </w:r>
          </w:p>
        </w:tc>
        <w:tc>
          <w:tcPr>
            <w:tcW w:w="1689" w:type="dxa"/>
            <w:vAlign w:val="center"/>
          </w:tcPr>
          <w:p>
            <w:pPr>
              <w:spacing w:line="360" w:lineRule="exact"/>
              <w:jc w:val="center"/>
              <w:rPr>
                <w:rFonts w:eastAsia="仿宋_GB2312"/>
                <w:sz w:val="24"/>
              </w:rPr>
            </w:pPr>
            <w:r>
              <w:rPr>
                <w:rFonts w:eastAsia="仿宋_GB2312"/>
                <w:sz w:val="24"/>
              </w:rPr>
              <w:t>2012</w:t>
            </w:r>
            <w:r>
              <w:rPr>
                <w:rFonts w:hint="eastAsia" w:eastAsia="仿宋_GB2312"/>
                <w:sz w:val="24"/>
              </w:rPr>
              <w:t>年</w:t>
            </w:r>
            <w:r>
              <w:rPr>
                <w:rFonts w:eastAsia="仿宋_GB2312"/>
                <w:sz w:val="24"/>
              </w:rPr>
              <w:t>11</w:t>
            </w:r>
            <w:r>
              <w:rPr>
                <w:rFonts w:hint="eastAsia" w:eastAsia="仿宋_GB2312"/>
                <w:sz w:val="24"/>
              </w:rPr>
              <w:t>月2</w:t>
            </w:r>
            <w:r>
              <w:rPr>
                <w:rFonts w:eastAsia="仿宋_GB2312"/>
                <w:sz w:val="24"/>
              </w:rPr>
              <w:t>1</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689"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689"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689"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1" w:hRule="atLeast"/>
          <w:jc w:val="center"/>
        </w:trPr>
        <w:tc>
          <w:tcPr>
            <w:tcW w:w="9553" w:type="dxa"/>
            <w:gridSpan w:val="11"/>
            <w:vAlign w:val="center"/>
          </w:tcPr>
          <w:p>
            <w:pPr>
              <w:jc w:val="center"/>
              <w:rPr>
                <w:rFonts w:eastAsia="仿宋_GB2312"/>
                <w:b/>
                <w:sz w:val="24"/>
              </w:rPr>
            </w:pPr>
            <w:r>
              <w:rPr>
                <w:rFonts w:eastAsia="仿宋_GB2312"/>
                <w:b/>
                <w:sz w:val="24"/>
              </w:rPr>
              <w:t>可获得优先支持情况</w:t>
            </w:r>
          </w:p>
          <w:p>
            <w:pPr>
              <w:spacing w:line="360" w:lineRule="exact"/>
              <w:jc w:val="center"/>
              <w:rPr>
                <w:rFonts w:eastAsia="仿宋_GB2312"/>
                <w:sz w:val="24"/>
              </w:rPr>
            </w:pPr>
            <w:r>
              <w:rPr>
                <w:rFonts w:eastAsia="仿宋_GB2312"/>
                <w:sz w:val="24"/>
              </w:rPr>
              <w:t>（院士工作站、博士后科研工作站，省级及以上企业重点实验室、工程技术研究中心、企业技术中心、产业技术研究院、人文社科基地等，需提供证明材料）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2981" w:type="dxa"/>
            <w:gridSpan w:val="2"/>
            <w:vAlign w:val="center"/>
          </w:tcPr>
          <w:p>
            <w:pPr>
              <w:jc w:val="center"/>
              <w:rPr>
                <w:rFonts w:eastAsia="仿宋_GB2312"/>
                <w:sz w:val="24"/>
              </w:rPr>
            </w:pPr>
            <w:r>
              <w:rPr>
                <w:rFonts w:eastAsia="仿宋_GB2312"/>
                <w:sz w:val="24"/>
              </w:rPr>
              <w:t>平台名称</w:t>
            </w:r>
          </w:p>
        </w:tc>
        <w:tc>
          <w:tcPr>
            <w:tcW w:w="3040" w:type="dxa"/>
            <w:gridSpan w:val="5"/>
            <w:vAlign w:val="center"/>
          </w:tcPr>
          <w:p>
            <w:pPr>
              <w:jc w:val="center"/>
              <w:rPr>
                <w:rFonts w:eastAsia="仿宋_GB2312"/>
                <w:sz w:val="24"/>
              </w:rPr>
            </w:pPr>
            <w:r>
              <w:rPr>
                <w:rFonts w:eastAsia="仿宋_GB2312"/>
                <w:sz w:val="24"/>
              </w:rPr>
              <w:t>平台类别、级别</w:t>
            </w:r>
          </w:p>
        </w:tc>
        <w:tc>
          <w:tcPr>
            <w:tcW w:w="1843" w:type="dxa"/>
            <w:gridSpan w:val="3"/>
            <w:vAlign w:val="center"/>
          </w:tcPr>
          <w:p>
            <w:pPr>
              <w:jc w:val="center"/>
              <w:rPr>
                <w:rFonts w:eastAsia="仿宋_GB2312"/>
                <w:sz w:val="24"/>
              </w:rPr>
            </w:pPr>
            <w:r>
              <w:rPr>
                <w:rFonts w:eastAsia="仿宋_GB2312"/>
                <w:sz w:val="24"/>
              </w:rPr>
              <w:t>批准单位</w:t>
            </w:r>
          </w:p>
        </w:tc>
        <w:tc>
          <w:tcPr>
            <w:tcW w:w="1689" w:type="dxa"/>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689"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689"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689"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689"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689"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9553" w:type="dxa"/>
            <w:gridSpan w:val="11"/>
          </w:tcPr>
          <w:p>
            <w:pPr>
              <w:jc w:val="left"/>
              <w:rPr>
                <w:szCs w:val="21"/>
              </w:rPr>
            </w:pPr>
            <w:r>
              <w:rPr>
                <w:rFonts w:eastAsia="仿宋_GB2312"/>
                <w:sz w:val="24"/>
              </w:rPr>
              <w:t>申请设站单位与高校已有的合作基础（分条目列出，限1000字以内。其中，联合承担的纵向和横向项目或合作成果限填近三年具有代表性的3项，需填写项目名称、批准单位、获批时间、项目内容、取得的成果等内容，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0" w:hRule="atLeast"/>
          <w:jc w:val="center"/>
        </w:trPr>
        <w:tc>
          <w:tcPr>
            <w:tcW w:w="9553" w:type="dxa"/>
            <w:gridSpan w:val="11"/>
          </w:tcPr>
          <w:p>
            <w:pPr>
              <w:spacing w:line="480" w:lineRule="auto"/>
              <w:ind w:firstLine="480" w:firstLineChars="200"/>
              <w:rPr>
                <w:rFonts w:eastAsia="仿宋_GB2312"/>
                <w:sz w:val="24"/>
              </w:rPr>
            </w:pPr>
            <w:r>
              <w:rPr>
                <w:rFonts w:hint="eastAsia" w:eastAsia="仿宋_GB2312"/>
                <w:sz w:val="24"/>
              </w:rPr>
              <w:t>南京乐惠芬纳赫包装机械有限公司（简称南京乐惠）近三年承担的项目信息如下：</w:t>
            </w:r>
          </w:p>
          <w:p>
            <w:pPr>
              <w:pStyle w:val="7"/>
              <w:numPr>
                <w:ilvl w:val="0"/>
                <w:numId w:val="1"/>
              </w:numPr>
              <w:spacing w:line="480" w:lineRule="auto"/>
              <w:ind w:firstLineChars="0"/>
              <w:rPr>
                <w:rFonts w:eastAsia="仿宋_GB2312"/>
                <w:sz w:val="24"/>
              </w:rPr>
            </w:pPr>
            <w:r>
              <w:rPr>
                <w:rFonts w:hint="eastAsia" w:eastAsia="仿宋_GB2312"/>
                <w:sz w:val="24"/>
              </w:rPr>
              <w:t>2017年省级工业和信息产业转型升级专项资金（高端装备研制赶超工程）项目</w:t>
            </w:r>
          </w:p>
          <w:p>
            <w:pPr>
              <w:spacing w:line="560" w:lineRule="exact"/>
              <w:ind w:firstLine="480" w:firstLineChars="200"/>
              <w:jc w:val="left"/>
              <w:rPr>
                <w:rFonts w:eastAsia="仿宋_GB2312"/>
                <w:sz w:val="24"/>
              </w:rPr>
            </w:pPr>
            <w:r>
              <w:rPr>
                <w:rFonts w:hint="eastAsia" w:eastAsia="仿宋_GB2312"/>
                <w:sz w:val="24"/>
              </w:rPr>
              <w:t>项目名称：“液体灌装机械2-高速易拉罐自动罐装生产线”</w:t>
            </w:r>
          </w:p>
          <w:p>
            <w:pPr>
              <w:spacing w:line="560" w:lineRule="exact"/>
              <w:ind w:firstLine="480" w:firstLineChars="200"/>
              <w:jc w:val="left"/>
              <w:rPr>
                <w:rFonts w:eastAsia="仿宋_GB2312"/>
                <w:sz w:val="24"/>
              </w:rPr>
            </w:pPr>
            <w:r>
              <w:rPr>
                <w:rFonts w:hint="eastAsia" w:eastAsia="仿宋_GB2312"/>
                <w:sz w:val="24"/>
              </w:rPr>
              <w:t>批准单位：江苏省经济和信息化委员会</w:t>
            </w:r>
          </w:p>
          <w:p>
            <w:pPr>
              <w:spacing w:line="560" w:lineRule="exact"/>
              <w:ind w:firstLine="480" w:firstLineChars="200"/>
              <w:jc w:val="left"/>
              <w:rPr>
                <w:rFonts w:eastAsia="仿宋_GB2312"/>
                <w:sz w:val="24"/>
              </w:rPr>
            </w:pPr>
            <w:r>
              <w:rPr>
                <w:rFonts w:hint="eastAsia" w:eastAsia="仿宋_GB2312"/>
                <w:sz w:val="24"/>
              </w:rPr>
              <w:t>批准时间：2018年1月</w:t>
            </w:r>
          </w:p>
          <w:p>
            <w:pPr>
              <w:spacing w:line="560" w:lineRule="exact"/>
              <w:ind w:firstLine="480" w:firstLineChars="200"/>
              <w:jc w:val="left"/>
              <w:rPr>
                <w:rFonts w:eastAsia="仿宋_GB2312"/>
                <w:sz w:val="24"/>
              </w:rPr>
            </w:pPr>
            <w:r>
              <w:rPr>
                <w:rFonts w:hint="eastAsia" w:eastAsia="仿宋_GB2312"/>
                <w:sz w:val="24"/>
              </w:rPr>
              <w:t>项目内容：研发90000罐/时易拉罐智能自动灌装生产线，赶超德国克朗斯，改变中国至今不能做易拉罐高速线，还在依赖进口的局面。</w:t>
            </w:r>
          </w:p>
          <w:p>
            <w:pPr>
              <w:spacing w:line="560" w:lineRule="exact"/>
              <w:ind w:firstLine="480" w:firstLineChars="200"/>
              <w:jc w:val="left"/>
              <w:rPr>
                <w:rFonts w:eastAsia="仿宋_GB2312"/>
                <w:sz w:val="24"/>
              </w:rPr>
            </w:pPr>
            <w:r>
              <w:rPr>
                <w:rFonts w:hint="eastAsia" w:eastAsia="仿宋_GB2312"/>
                <w:sz w:val="24"/>
              </w:rPr>
              <w:t>项目取得成果如下：</w:t>
            </w:r>
          </w:p>
          <w:p>
            <w:pPr>
              <w:spacing w:line="560" w:lineRule="exact"/>
              <w:ind w:firstLine="480" w:firstLineChars="200"/>
              <w:jc w:val="left"/>
              <w:rPr>
                <w:rFonts w:eastAsia="仿宋_GB2312"/>
                <w:sz w:val="24"/>
              </w:rPr>
            </w:pPr>
            <w:r>
              <w:rPr>
                <w:rFonts w:hint="eastAsia" w:eastAsia="仿宋_GB2312"/>
                <w:sz w:val="24"/>
              </w:rPr>
              <w:t>1）技术、质量成果</w:t>
            </w:r>
          </w:p>
          <w:p>
            <w:pPr>
              <w:spacing w:line="560" w:lineRule="exact"/>
              <w:ind w:firstLine="480" w:firstLineChars="200"/>
              <w:jc w:val="left"/>
              <w:rPr>
                <w:rFonts w:eastAsia="仿宋_GB2312"/>
                <w:sz w:val="24"/>
              </w:rPr>
            </w:pPr>
            <w:r>
              <w:rPr>
                <w:rFonts w:hint="eastAsia" w:eastAsia="仿宋_GB2312"/>
                <w:sz w:val="24"/>
              </w:rPr>
              <w:t>本项目的技术、质量目标考核要求是生产线生产能力达90000罐/时，灌装合格率≥99%，灌装效率≥95%，罐损率≤0.1%，盖损率≤0.1%等主要技术指标都优于行业标准，整体技术全面赶超德国克朗斯达到国内领先、国际先进、部分指标国际领先水平。</w:t>
            </w:r>
          </w:p>
          <w:p>
            <w:pPr>
              <w:spacing w:line="560" w:lineRule="exact"/>
              <w:ind w:firstLine="480" w:firstLineChars="200"/>
              <w:jc w:val="left"/>
              <w:rPr>
                <w:rFonts w:eastAsia="仿宋_GB2312"/>
                <w:sz w:val="24"/>
              </w:rPr>
            </w:pPr>
            <w:r>
              <w:rPr>
                <w:rFonts w:hint="eastAsia" w:eastAsia="仿宋_GB2312"/>
                <w:sz w:val="24"/>
              </w:rPr>
              <w:t>南京乐惠的高速易拉罐自动灌装生产线于2020年6月研发完成，经江苏省机械研究设计院有限责任公司机械检测中心检验，技术和质量指标达到任务书的要求。</w:t>
            </w:r>
          </w:p>
          <w:p>
            <w:pPr>
              <w:spacing w:line="560" w:lineRule="exact"/>
              <w:ind w:firstLine="480" w:firstLineChars="200"/>
              <w:jc w:val="left"/>
              <w:rPr>
                <w:rFonts w:eastAsia="仿宋_GB2312"/>
                <w:sz w:val="24"/>
              </w:rPr>
            </w:pPr>
            <w:r>
              <w:rPr>
                <w:rFonts w:hint="eastAsia" w:eastAsia="仿宋_GB2312"/>
                <w:sz w:val="24"/>
              </w:rPr>
              <w:t>江苏省科技查新咨询中心于2020年8月5日受南京乐惠委托针对技术创新进行国内外查新，并于2020年9月2日出具查新结论为：</w:t>
            </w:r>
          </w:p>
          <w:p>
            <w:pPr>
              <w:spacing w:line="560" w:lineRule="exact"/>
              <w:ind w:firstLine="480" w:firstLineChars="200"/>
              <w:jc w:val="left"/>
              <w:rPr>
                <w:rFonts w:eastAsia="仿宋_GB2312"/>
                <w:sz w:val="24"/>
              </w:rPr>
            </w:pPr>
            <w:r>
              <w:rPr>
                <w:rFonts w:hint="eastAsia" w:eastAsia="仿宋_GB2312"/>
                <w:sz w:val="24"/>
              </w:rPr>
              <w:t>乐惠采用数字化灌装液位控制技术、灌装增氧技术、预吹扫技术、全程无压力输送研发的90000罐（每罐330ml）/时的高速啤酒机易拉罐灌装，达到国内领先，国际先进水平。</w:t>
            </w:r>
          </w:p>
          <w:p>
            <w:pPr>
              <w:spacing w:line="560" w:lineRule="exact"/>
              <w:ind w:firstLine="480" w:firstLineChars="200"/>
              <w:jc w:val="left"/>
              <w:rPr>
                <w:rFonts w:eastAsia="仿宋_GB2312"/>
                <w:sz w:val="24"/>
              </w:rPr>
            </w:pPr>
            <w:r>
              <w:rPr>
                <w:rFonts w:eastAsia="仿宋_GB2312"/>
                <w:sz w:val="24"/>
              </w:rPr>
              <w:t>2）</w:t>
            </w:r>
            <w:r>
              <w:rPr>
                <w:rFonts w:hint="eastAsia" w:eastAsia="仿宋_GB2312"/>
                <w:sz w:val="24"/>
              </w:rPr>
              <w:t>知识产权成果</w:t>
            </w:r>
          </w:p>
          <w:p>
            <w:pPr>
              <w:spacing w:line="560" w:lineRule="exact"/>
              <w:ind w:firstLine="480" w:firstLineChars="200"/>
              <w:jc w:val="left"/>
              <w:rPr>
                <w:rFonts w:eastAsia="仿宋_GB2312"/>
                <w:sz w:val="24"/>
              </w:rPr>
            </w:pPr>
            <w:r>
              <w:rPr>
                <w:rFonts w:hint="eastAsia" w:eastAsia="仿宋_GB2312"/>
                <w:sz w:val="24"/>
              </w:rPr>
              <w:t>自2016年7月至2020年8月，南京乐惠申请专利12件，其中发明专利申请3件，实用新型专利申请9件，授权发明专利4件，授权实用新型专利6件，超额完成了新申请专利5件，其中授权专利2件的考核要求。</w:t>
            </w:r>
          </w:p>
          <w:p>
            <w:pPr>
              <w:spacing w:line="560" w:lineRule="exact"/>
              <w:ind w:firstLine="480" w:firstLineChars="200"/>
              <w:jc w:val="left"/>
              <w:rPr>
                <w:rFonts w:eastAsia="仿宋_GB2312"/>
                <w:sz w:val="24"/>
              </w:rPr>
            </w:pPr>
            <w:r>
              <w:rPr>
                <w:rFonts w:hint="eastAsia" w:eastAsia="仿宋_GB2312"/>
                <w:sz w:val="24"/>
              </w:rPr>
              <w:t>3）新标准制定成果</w:t>
            </w:r>
          </w:p>
          <w:p>
            <w:pPr>
              <w:spacing w:line="560" w:lineRule="exact"/>
              <w:ind w:firstLine="480" w:firstLineChars="200"/>
              <w:jc w:val="left"/>
              <w:rPr>
                <w:rFonts w:eastAsia="仿宋_GB2312"/>
                <w:sz w:val="24"/>
              </w:rPr>
            </w:pPr>
            <w:r>
              <w:rPr>
                <w:rFonts w:hint="eastAsia" w:eastAsia="仿宋_GB2312"/>
                <w:sz w:val="24"/>
              </w:rPr>
              <w:t>2017年南京乐惠作为第三起草单位参与了国家标准GB/T 34268-2017《啤酒玻璃瓶灌装生产线通用技术要求》的制定；2019年南京乐惠主持修订了《洗瓶机》、《杀菌机》、《制酒机械灌装压盖机》三个行业标准；2020年南京乐惠主持制定的国家标准《啤酒机械通用技术条件》正在国家标委会做最终的审核即将出版，南京乐惠主持修订了行业标准《啤酒玻璃瓶灌装生产线》、主持制定了行业标准《聚酯（PET）瓶装饮料超洁净灌装生产线》。</w:t>
            </w:r>
          </w:p>
          <w:p>
            <w:pPr>
              <w:rPr>
                <w:szCs w:val="21"/>
              </w:rPr>
            </w:pPr>
          </w:p>
          <w:p>
            <w:pPr>
              <w:pStyle w:val="7"/>
              <w:numPr>
                <w:ilvl w:val="0"/>
                <w:numId w:val="1"/>
              </w:numPr>
              <w:spacing w:line="480" w:lineRule="auto"/>
              <w:ind w:firstLineChars="0"/>
              <w:rPr>
                <w:szCs w:val="21"/>
              </w:rPr>
            </w:pPr>
            <w:r>
              <w:rPr>
                <w:rFonts w:hint="eastAsia" w:eastAsia="仿宋_GB2312"/>
                <w:sz w:val="24"/>
              </w:rPr>
              <w:t>2020年南京市企业重点研发项目</w:t>
            </w:r>
          </w:p>
          <w:p>
            <w:pPr>
              <w:spacing w:line="560" w:lineRule="exact"/>
              <w:ind w:firstLine="480" w:firstLineChars="200"/>
              <w:jc w:val="left"/>
              <w:rPr>
                <w:rFonts w:eastAsia="仿宋_GB2312"/>
                <w:sz w:val="24"/>
              </w:rPr>
            </w:pPr>
            <w:r>
              <w:rPr>
                <w:rFonts w:hint="eastAsia" w:eastAsia="仿宋_GB2312"/>
                <w:sz w:val="24"/>
              </w:rPr>
              <w:t>项目名称：“5000瓶（罐）/时柔性线的研发”</w:t>
            </w:r>
          </w:p>
          <w:p>
            <w:pPr>
              <w:spacing w:line="560" w:lineRule="exact"/>
              <w:ind w:firstLine="480" w:firstLineChars="200"/>
              <w:jc w:val="left"/>
              <w:rPr>
                <w:rFonts w:eastAsia="仿宋_GB2312"/>
                <w:sz w:val="24"/>
              </w:rPr>
            </w:pPr>
            <w:r>
              <w:rPr>
                <w:rFonts w:hint="eastAsia" w:eastAsia="仿宋_GB2312"/>
                <w:sz w:val="24"/>
              </w:rPr>
              <w:t xml:space="preserve">批准单位：南京市工业和信息化局 </w:t>
            </w:r>
          </w:p>
          <w:p>
            <w:pPr>
              <w:spacing w:line="560" w:lineRule="exact"/>
              <w:ind w:firstLine="480" w:firstLineChars="200"/>
              <w:jc w:val="left"/>
              <w:rPr>
                <w:rFonts w:eastAsia="仿宋_GB2312"/>
                <w:sz w:val="24"/>
              </w:rPr>
            </w:pPr>
            <w:r>
              <w:rPr>
                <w:rFonts w:hint="eastAsia" w:eastAsia="仿宋_GB2312"/>
                <w:sz w:val="24"/>
              </w:rPr>
              <w:t>批准时间：</w:t>
            </w:r>
            <w:r>
              <w:rPr>
                <w:rFonts w:eastAsia="仿宋_GB2312"/>
                <w:sz w:val="24"/>
              </w:rPr>
              <w:t>2020</w:t>
            </w:r>
            <w:r>
              <w:rPr>
                <w:rFonts w:hint="eastAsia" w:eastAsia="仿宋_GB2312"/>
                <w:sz w:val="24"/>
              </w:rPr>
              <w:t>年</w:t>
            </w:r>
            <w:r>
              <w:rPr>
                <w:rFonts w:eastAsia="仿宋_GB2312"/>
                <w:sz w:val="24"/>
              </w:rPr>
              <w:t>6</w:t>
            </w:r>
            <w:r>
              <w:rPr>
                <w:rFonts w:hint="eastAsia" w:eastAsia="仿宋_GB2312"/>
                <w:sz w:val="24"/>
              </w:rPr>
              <w:t>月</w:t>
            </w:r>
          </w:p>
          <w:p>
            <w:pPr>
              <w:spacing w:line="560" w:lineRule="exact"/>
              <w:ind w:firstLine="480" w:firstLineChars="200"/>
              <w:jc w:val="left"/>
              <w:rPr>
                <w:rFonts w:eastAsia="仿宋_GB2312"/>
                <w:sz w:val="24"/>
              </w:rPr>
            </w:pPr>
            <w:r>
              <w:rPr>
                <w:rFonts w:hint="eastAsia" w:eastAsia="仿宋_GB2312"/>
                <w:sz w:val="24"/>
              </w:rPr>
              <w:t>项目内容：研发5000瓶（罐）/时柔性线，灌装效率≥90%</w:t>
            </w:r>
          </w:p>
          <w:p>
            <w:pPr>
              <w:spacing w:line="560" w:lineRule="exact"/>
              <w:ind w:firstLine="480" w:firstLineChars="200"/>
              <w:jc w:val="left"/>
              <w:rPr>
                <w:rFonts w:eastAsia="仿宋_GB2312"/>
                <w:sz w:val="24"/>
              </w:rPr>
            </w:pPr>
            <w:r>
              <w:rPr>
                <w:rFonts w:hint="eastAsia" w:eastAsia="仿宋_GB2312"/>
                <w:sz w:val="24"/>
              </w:rPr>
              <w:t>项目取得成果如下：</w:t>
            </w:r>
          </w:p>
          <w:p>
            <w:pPr>
              <w:spacing w:line="560" w:lineRule="exact"/>
              <w:ind w:firstLine="480" w:firstLineChars="200"/>
              <w:jc w:val="left"/>
              <w:rPr>
                <w:rFonts w:eastAsia="仿宋_GB2312"/>
                <w:sz w:val="24"/>
              </w:rPr>
            </w:pPr>
            <w:r>
              <w:rPr>
                <w:rFonts w:hint="eastAsia" w:eastAsia="仿宋_GB2312"/>
                <w:sz w:val="24"/>
              </w:rPr>
              <w:t>本项目研发的5000瓶（罐）/时精酿啤酒柔性罐装线，可以有效、稳定地对产品的输入和输出进行控制，实现各种批量、多品种生产的快速响应，符合各类消费者的需求，极大地提高啤酒生产的经济效益，迎合市场发展需求。</w:t>
            </w:r>
          </w:p>
          <w:p>
            <w:pPr>
              <w:spacing w:line="560" w:lineRule="exact"/>
              <w:ind w:firstLine="480" w:firstLineChars="200"/>
              <w:jc w:val="left"/>
              <w:rPr>
                <w:rFonts w:eastAsia="仿宋_GB2312"/>
                <w:sz w:val="24"/>
              </w:rPr>
            </w:pPr>
          </w:p>
          <w:p>
            <w:pPr>
              <w:pStyle w:val="7"/>
              <w:numPr>
                <w:ilvl w:val="0"/>
                <w:numId w:val="1"/>
              </w:numPr>
              <w:spacing w:line="480" w:lineRule="auto"/>
              <w:ind w:firstLineChars="0"/>
              <w:rPr>
                <w:rFonts w:eastAsia="仿宋_GB2312"/>
                <w:sz w:val="24"/>
              </w:rPr>
            </w:pPr>
            <w:r>
              <w:rPr>
                <w:rFonts w:eastAsia="仿宋_GB2312"/>
                <w:sz w:val="24"/>
              </w:rPr>
              <w:t>南京乐惠与东南大学联合开展灌装阀结构设计合作</w:t>
            </w:r>
          </w:p>
          <w:p>
            <w:pPr>
              <w:spacing w:line="360" w:lineRule="auto"/>
              <w:rPr>
                <w:szCs w:val="21"/>
              </w:rPr>
            </w:pPr>
            <w:r>
              <w:rPr>
                <w:rFonts w:hint="eastAsia" w:eastAsia="仿宋_GB2312"/>
                <w:sz w:val="24"/>
              </w:rPr>
              <w:t xml:space="preserve"> </w:t>
            </w:r>
            <w:r>
              <w:rPr>
                <w:rFonts w:eastAsia="仿宋_GB2312"/>
                <w:sz w:val="24"/>
              </w:rPr>
              <w:t xml:space="preserve">  南京乐惠研发的一款颗粒液体灌装阀，由于机构的原因只能从侧面进料，而且因为物料中含有颗粒，不能采取多孔板、节流等方法来稳定液体流场，南京乐惠希望东南大学能通过优化进料角度及流道型线来合作解决这个问题，达到流场稳定。</w:t>
            </w:r>
            <w:r>
              <w:rPr>
                <w:rFonts w:hint="eastAsia" w:eastAsia="仿宋_GB2312"/>
                <w:sz w:val="24"/>
                <w:lang w:val="en-US" w:eastAsia="zh-Hans"/>
              </w:rPr>
              <w:t>目前双方正在开展合作中。</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jc w:val="center"/>
        </w:trPr>
        <w:tc>
          <w:tcPr>
            <w:tcW w:w="9553" w:type="dxa"/>
            <w:gridSpan w:val="11"/>
            <w:vAlign w:val="center"/>
          </w:tcPr>
          <w:p>
            <w:pPr>
              <w:jc w:val="center"/>
              <w:rPr>
                <w:szCs w:val="21"/>
              </w:rPr>
            </w:pPr>
            <w:r>
              <w:rPr>
                <w:rFonts w:eastAsia="仿宋_GB2312"/>
                <w:sz w:val="24"/>
              </w:rPr>
              <w:t>工作站条件保障情况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1" w:hRule="atLeast"/>
          <w:jc w:val="center"/>
        </w:trPr>
        <w:tc>
          <w:tcPr>
            <w:tcW w:w="9553" w:type="dxa"/>
            <w:gridSpan w:val="11"/>
          </w:tcPr>
          <w:p>
            <w:pPr>
              <w:rPr>
                <w:rFonts w:eastAsia="仿宋_GB2312"/>
                <w:sz w:val="24"/>
              </w:rPr>
            </w:pPr>
            <w:r>
              <w:rPr>
                <w:rFonts w:eastAsia="仿宋_GB2312"/>
                <w:sz w:val="24"/>
              </w:rPr>
              <w:t>1.人员保障条件（包括能指导研究生科研创新实践的专业技术或管理专家等情况）</w:t>
            </w:r>
          </w:p>
          <w:p>
            <w:pPr>
              <w:spacing w:line="480" w:lineRule="auto"/>
              <w:ind w:firstLine="480" w:firstLineChars="200"/>
              <w:rPr>
                <w:rFonts w:eastAsia="仿宋_GB2312"/>
                <w:sz w:val="24"/>
              </w:rPr>
            </w:pPr>
            <w:r>
              <w:rPr>
                <w:rFonts w:hint="eastAsia" w:eastAsia="仿宋_GB2312"/>
                <w:sz w:val="24"/>
              </w:rPr>
              <w:t>南京乐惠董事长黄粤宁毕业于中国华南理工大学微生物工程专业，获得学士学位；中山大学和清华大学攻读 EMBA 课程,获得工商管理硕士学位。担任全国酿酒标准化技术委员会委员、中轻食品工业管理中心技术委员会委员，是江苏省优秀企业家 ，是60余件发明、实用新型专利的发明人。</w:t>
            </w:r>
          </w:p>
          <w:p>
            <w:pPr>
              <w:spacing w:line="480" w:lineRule="auto"/>
              <w:ind w:firstLine="480" w:firstLineChars="200"/>
              <w:rPr>
                <w:rFonts w:eastAsia="仿宋_GB2312"/>
                <w:sz w:val="24"/>
              </w:rPr>
            </w:pPr>
            <w:r>
              <w:rPr>
                <w:rFonts w:hint="eastAsia" w:eastAsia="仿宋_GB2312"/>
                <w:sz w:val="24"/>
              </w:rPr>
              <w:t>总经理黄东宁担任中国饮料工业协会供应商分会副会长，是30余件发明、实用新型专利的发明人，是8件国家标准、团体标准、行业标准的起草人。</w:t>
            </w:r>
          </w:p>
          <w:p>
            <w:pPr>
              <w:spacing w:line="480" w:lineRule="auto"/>
              <w:ind w:firstLine="480" w:firstLineChars="200"/>
              <w:rPr>
                <w:rFonts w:eastAsia="仿宋_GB2312"/>
                <w:sz w:val="24"/>
              </w:rPr>
            </w:pPr>
            <w:r>
              <w:rPr>
                <w:rFonts w:hint="eastAsia" w:eastAsia="仿宋_GB2312"/>
                <w:sz w:val="24"/>
              </w:rPr>
              <w:t>常务副总潘晓东，毕业于南京理工大学，获</w:t>
            </w:r>
            <w:r>
              <w:rPr>
                <w:rFonts w:eastAsia="仿宋_GB2312"/>
                <w:sz w:val="24"/>
              </w:rPr>
              <w:t>EMBA</w:t>
            </w:r>
            <w:r>
              <w:rPr>
                <w:rFonts w:hint="eastAsia" w:eastAsia="仿宋_GB2312"/>
                <w:sz w:val="24"/>
              </w:rPr>
              <w:t>得硕士学位。</w:t>
            </w:r>
          </w:p>
          <w:p>
            <w:pPr>
              <w:spacing w:line="480" w:lineRule="auto"/>
              <w:ind w:firstLine="480" w:firstLineChars="200"/>
              <w:rPr>
                <w:rFonts w:eastAsia="仿宋_GB2312"/>
                <w:sz w:val="24"/>
              </w:rPr>
            </w:pPr>
            <w:r>
              <w:rPr>
                <w:rFonts w:hint="eastAsia" w:eastAsia="仿宋_GB2312"/>
                <w:sz w:val="24"/>
              </w:rPr>
              <w:t>总工程师陈小平毕业于浙江大学，担任全国轻工机械标准化技术委员会制酒饮料机械分技术委员会（SAC/TC101/SC2）委员，是60余件发明、实用新型专利的发明人，是5项科技成果的主要发明人，是18件国家标准、团体标准、行业标准的起草人。</w:t>
            </w:r>
          </w:p>
          <w:p>
            <w:pPr>
              <w:spacing w:line="480" w:lineRule="auto"/>
              <w:ind w:firstLine="480" w:firstLineChars="200"/>
              <w:rPr>
                <w:rFonts w:eastAsia="仿宋_GB2312"/>
                <w:sz w:val="24"/>
              </w:rPr>
            </w:pPr>
            <w:r>
              <w:rPr>
                <w:rFonts w:hint="eastAsia" w:eastAsia="仿宋_GB2312"/>
                <w:sz w:val="24"/>
              </w:rPr>
              <w:t>南京乐惠自公司成立后就十分重视产品开发人才的培养和专门人才的引进，在企业人才工作中建立了引进人才、留住人才、用好人才特别的政策措施，使南京乐惠拥有了一支实战经验丰富的专业开发团队。南京乐惠目前拥有员工183名，其中研发人员共30人，占职工总数的16%</w:t>
            </w:r>
            <w:r>
              <w:rPr>
                <w:rFonts w:hint="eastAsia" w:eastAsia="仿宋_GB2312"/>
                <w:sz w:val="24"/>
                <w:lang w:eastAsia="zh-Hans"/>
              </w:rPr>
              <w:t>，</w:t>
            </w:r>
            <w:r>
              <w:rPr>
                <w:rFonts w:hint="eastAsia" w:eastAsia="仿宋_GB2312"/>
                <w:sz w:val="24"/>
              </w:rPr>
              <w:t>形成了机械设计、机械制造、机电一体化等多专业优势互补的老中青研发人才梯队。</w:t>
            </w:r>
          </w:p>
          <w:p>
            <w:pPr>
              <w:rPr>
                <w:rFonts w:eastAsia="仿宋_GB2312"/>
                <w:sz w:val="24"/>
              </w:rPr>
            </w:pPr>
          </w:p>
          <w:p>
            <w:pPr>
              <w:rPr>
                <w:rFonts w:eastAsia="仿宋_GB2312"/>
                <w:sz w:val="24"/>
              </w:rPr>
            </w:pPr>
            <w:r>
              <w:rPr>
                <w:rFonts w:eastAsia="仿宋_GB2312"/>
                <w:sz w:val="24"/>
              </w:rPr>
              <w:t>2.工作保障条件（如科研设施、实践场地等情况）</w:t>
            </w:r>
          </w:p>
          <w:p>
            <w:pPr>
              <w:spacing w:line="480" w:lineRule="auto"/>
              <w:ind w:firstLine="480" w:firstLineChars="200"/>
              <w:rPr>
                <w:rFonts w:eastAsia="仿宋_GB2312"/>
                <w:sz w:val="24"/>
              </w:rPr>
            </w:pPr>
            <w:r>
              <w:rPr>
                <w:rFonts w:hint="eastAsia" w:eastAsia="仿宋_GB2312"/>
                <w:sz w:val="24"/>
              </w:rPr>
              <w:t>南京乐惠注册资本20000万元，厂区总占地24万平方米，乐惠集团南京生产工厂拥有各种从日本和美国引进高精度的五轴加工中心、车铣复合和数控车等先进装备，同时引进瑞典的3D数控8轴弯管设备等设备都是行业内非常珍贵的高品质装备。</w:t>
            </w:r>
          </w:p>
          <w:p>
            <w:pPr>
              <w:spacing w:line="480" w:lineRule="auto"/>
              <w:ind w:firstLine="480" w:firstLineChars="200"/>
              <w:rPr>
                <w:rFonts w:eastAsia="仿宋_GB2312"/>
                <w:sz w:val="24"/>
              </w:rPr>
            </w:pPr>
            <w:r>
              <w:rPr>
                <w:rFonts w:hint="eastAsia" w:eastAsia="仿宋_GB2312"/>
                <w:sz w:val="24"/>
              </w:rPr>
              <w:t>南京乐惠设有总工程师办公室及灌装机、洗瓶机、杀菌机、综合所、电气所、工艺所等6个研究所，以及标准研究室、产品试验中心。围绕产品质量控制，先后投资建立了计量室、理化室、微生物实验室、灌装阀实验室、精密检测中心、关键部件装配室；建立了适应企业实际的较完善的技术创新体系和运行机制，采用先进的PDM系统进行产品数据的管理。</w:t>
            </w:r>
          </w:p>
          <w:p>
            <w:pPr>
              <w:rPr>
                <w:rFonts w:eastAsia="仿宋_GB2312"/>
                <w:sz w:val="24"/>
              </w:rPr>
            </w:pPr>
          </w:p>
          <w:p>
            <w:pPr>
              <w:rPr>
                <w:rFonts w:eastAsia="仿宋_GB2312"/>
                <w:sz w:val="24"/>
              </w:rPr>
            </w:pPr>
            <w:r>
              <w:rPr>
                <w:rFonts w:eastAsia="仿宋_GB2312"/>
                <w:sz w:val="24"/>
              </w:rPr>
              <w:t>3.生活保障条件（包括为进站研究生提供生活、交通、通讯等补助及食宿条件等情况）</w:t>
            </w:r>
          </w:p>
          <w:p>
            <w:pPr>
              <w:spacing w:line="480" w:lineRule="auto"/>
              <w:ind w:firstLine="480" w:firstLineChars="200"/>
              <w:rPr>
                <w:rFonts w:eastAsia="仿宋_GB2312"/>
                <w:sz w:val="24"/>
              </w:rPr>
            </w:pPr>
            <w:r>
              <w:rPr>
                <w:rFonts w:eastAsia="仿宋_GB2312"/>
                <w:sz w:val="24"/>
              </w:rPr>
              <w:t>1）</w:t>
            </w:r>
            <w:r>
              <w:rPr>
                <w:rFonts w:hint="eastAsia" w:eastAsia="仿宋_GB2312"/>
                <w:sz w:val="24"/>
              </w:rPr>
              <w:t>进站研究生参加工作站办公室安排的学习、研发等各项活动，编入乐惠的研发部门，接受乐惠相关技术人员的指导，使用乐惠和学校提供的学习条件与科研资源。</w:t>
            </w:r>
          </w:p>
          <w:p>
            <w:pPr>
              <w:spacing w:line="480" w:lineRule="auto"/>
              <w:ind w:firstLine="480" w:firstLineChars="200"/>
              <w:rPr>
                <w:rFonts w:eastAsia="仿宋_GB2312"/>
                <w:sz w:val="24"/>
              </w:rPr>
            </w:pPr>
            <w:r>
              <w:rPr>
                <w:rFonts w:hint="eastAsia" w:eastAsia="仿宋_GB2312"/>
                <w:sz w:val="24"/>
              </w:rPr>
              <w:t>2</w:t>
            </w:r>
            <w:r>
              <w:rPr>
                <w:rFonts w:eastAsia="仿宋_GB2312"/>
                <w:sz w:val="24"/>
              </w:rPr>
              <w:t>)</w:t>
            </w:r>
            <w:r>
              <w:rPr>
                <w:rFonts w:hint="eastAsia" w:eastAsia="仿宋_GB2312"/>
                <w:sz w:val="24"/>
              </w:rPr>
              <w:t>进站研究生参加有关政府科技计划项目的研发，按规定享受研发成果有关权益，享有获得有关荣誉称号和奖励的评选权利。</w:t>
            </w:r>
          </w:p>
          <w:p>
            <w:pPr>
              <w:spacing w:line="480" w:lineRule="auto"/>
              <w:ind w:firstLine="480" w:firstLineChars="200"/>
              <w:rPr>
                <w:rFonts w:eastAsia="仿宋_GB2312"/>
                <w:sz w:val="24"/>
              </w:rPr>
            </w:pPr>
            <w:r>
              <w:rPr>
                <w:rFonts w:eastAsia="仿宋_GB2312"/>
                <w:sz w:val="24"/>
              </w:rPr>
              <w:t>3)</w:t>
            </w:r>
            <w:r>
              <w:rPr>
                <w:rFonts w:hint="eastAsia" w:eastAsia="仿宋_GB2312"/>
                <w:sz w:val="24"/>
              </w:rPr>
              <w:t>进站研究生应与乐惠签订保密协议，严格保守乐惠的科研和商业秘密。在站工作期间所形成的科学研究论文，须经建站双方同意，方可在国内外期刊杂志和学术会议上发表。</w:t>
            </w:r>
          </w:p>
          <w:p>
            <w:pPr>
              <w:spacing w:line="480" w:lineRule="auto"/>
              <w:ind w:firstLine="480" w:firstLineChars="200"/>
              <w:rPr>
                <w:rFonts w:eastAsia="仿宋_GB2312"/>
                <w:sz w:val="24"/>
              </w:rPr>
            </w:pPr>
            <w:r>
              <w:rPr>
                <w:rFonts w:hint="eastAsia" w:eastAsia="仿宋_GB2312"/>
                <w:sz w:val="24"/>
              </w:rPr>
              <w:t>4</w:t>
            </w:r>
            <w:r>
              <w:rPr>
                <w:rFonts w:eastAsia="仿宋_GB2312"/>
                <w:sz w:val="24"/>
              </w:rPr>
              <w:t>)</w:t>
            </w:r>
            <w:r>
              <w:rPr>
                <w:rFonts w:hint="eastAsia" w:eastAsia="仿宋_GB2312"/>
                <w:sz w:val="24"/>
              </w:rPr>
              <w:t>进入研究生工作站开展研究工作的研究生，在站期间的行政和党团组织等关系可转入我公司，视同在职人员管理。</w:t>
            </w:r>
          </w:p>
          <w:p>
            <w:pPr>
              <w:spacing w:line="480" w:lineRule="auto"/>
              <w:ind w:firstLine="480" w:firstLineChars="200"/>
              <w:rPr>
                <w:rFonts w:eastAsia="仿宋_GB2312"/>
                <w:sz w:val="24"/>
              </w:rPr>
            </w:pPr>
            <w:r>
              <w:rPr>
                <w:rFonts w:eastAsia="仿宋_GB2312"/>
                <w:sz w:val="24"/>
              </w:rPr>
              <w:t>5）</w:t>
            </w:r>
            <w:r>
              <w:rPr>
                <w:rFonts w:hint="eastAsia" w:eastAsia="仿宋_GB2312"/>
                <w:sz w:val="24"/>
              </w:rPr>
              <w:t>研究生在乐惠工作期间可免费使用乐惠为其提供的公寓住宅。研究生公寓是在站研究生居住的专门住房，不得挪作他用。</w:t>
            </w:r>
          </w:p>
          <w:p>
            <w:pPr>
              <w:spacing w:line="480" w:lineRule="auto"/>
              <w:ind w:firstLine="480" w:firstLineChars="200"/>
              <w:rPr>
                <w:rFonts w:eastAsia="仿宋_GB2312"/>
                <w:sz w:val="24"/>
              </w:rPr>
            </w:pPr>
            <w:r>
              <w:rPr>
                <w:rFonts w:hint="eastAsia" w:eastAsia="仿宋_GB2312"/>
                <w:sz w:val="24"/>
              </w:rPr>
              <w:t>6）研究生在工作站工作期间，由公司食堂提供工作餐，并给予硕士生每人每月1000元的生活补贴，博士生每月2</w:t>
            </w:r>
            <w:r>
              <w:rPr>
                <w:rFonts w:eastAsia="仿宋_GB2312"/>
                <w:sz w:val="24"/>
              </w:rPr>
              <w:t>000元的生活补贴</w:t>
            </w:r>
            <w:r>
              <w:rPr>
                <w:rFonts w:hint="eastAsia" w:eastAsia="仿宋_GB2312"/>
                <w:sz w:val="24"/>
              </w:rPr>
              <w:t>。</w:t>
            </w:r>
          </w:p>
          <w:p>
            <w:pPr>
              <w:spacing w:line="480" w:lineRule="auto"/>
              <w:ind w:firstLine="480" w:firstLineChars="200"/>
              <w:rPr>
                <w:rFonts w:eastAsia="仿宋_GB2312"/>
                <w:sz w:val="24"/>
              </w:rPr>
            </w:pPr>
            <w:r>
              <w:rPr>
                <w:rFonts w:hint="eastAsia" w:eastAsia="仿宋_GB2312"/>
                <w:sz w:val="24"/>
              </w:rPr>
              <w:t>7）进站研究生来往南京乐惠公司和东南大学之间的交通费据实报销。</w:t>
            </w:r>
          </w:p>
          <w:p>
            <w:pPr>
              <w:rPr>
                <w:rFonts w:eastAsia="仿宋_GB2312"/>
                <w:sz w:val="24"/>
              </w:rPr>
            </w:pPr>
            <w:bookmarkStart w:id="0" w:name="_GoBack"/>
            <w:bookmarkEnd w:id="0"/>
          </w:p>
          <w:p>
            <w:pPr>
              <w:rPr>
                <w:rFonts w:eastAsia="仿宋_GB2312"/>
                <w:sz w:val="24"/>
              </w:rPr>
            </w:pPr>
            <w:r>
              <w:rPr>
                <w:rFonts w:eastAsia="仿宋_GB2312"/>
                <w:sz w:val="24"/>
              </w:rPr>
              <w:t>4.研究生进站培养计划和方案（限800字以内）</w:t>
            </w:r>
          </w:p>
          <w:p>
            <w:pPr>
              <w:spacing w:line="360" w:lineRule="auto"/>
              <w:ind w:firstLine="480" w:firstLineChars="200"/>
              <w:rPr>
                <w:rFonts w:hint="eastAsia" w:eastAsia="仿宋_GB2312"/>
                <w:sz w:val="24"/>
              </w:rPr>
            </w:pPr>
            <w:r>
              <w:rPr>
                <w:rFonts w:hint="eastAsia" w:eastAsia="仿宋_GB2312"/>
                <w:sz w:val="24"/>
              </w:rPr>
              <w:t>培养目标：掌握</w:t>
            </w:r>
            <w:r>
              <w:rPr>
                <w:rFonts w:hint="eastAsia" w:eastAsia="仿宋_GB2312"/>
                <w:sz w:val="24"/>
                <w:lang w:val="en-US" w:eastAsia="zh-Hans"/>
              </w:rPr>
              <w:t>机械制造</w:t>
            </w:r>
            <w:r>
              <w:rPr>
                <w:rFonts w:hint="eastAsia" w:eastAsia="仿宋_GB2312"/>
                <w:sz w:val="24"/>
              </w:rPr>
              <w:t>学科坚实宽广的基础理论和系统深入的专业知识，掌握</w:t>
            </w:r>
            <w:r>
              <w:rPr>
                <w:rFonts w:hint="eastAsia" w:eastAsia="仿宋_GB2312"/>
                <w:sz w:val="24"/>
                <w:lang w:val="en-US" w:eastAsia="zh-Hans"/>
              </w:rPr>
              <w:t>机械制造工程</w:t>
            </w:r>
            <w:r>
              <w:rPr>
                <w:rFonts w:hint="eastAsia" w:eastAsia="仿宋_GB2312"/>
                <w:sz w:val="24"/>
              </w:rPr>
              <w:t>学科所从事研究方向的现状和发展方向，具有独立地、创造性地从事科学研究的能力。旨在培养</w:t>
            </w:r>
            <w:r>
              <w:rPr>
                <w:rFonts w:hint="eastAsia" w:eastAsia="仿宋_GB2312"/>
                <w:sz w:val="24"/>
                <w:lang w:val="en-US" w:eastAsia="zh-Hans"/>
              </w:rPr>
              <w:t>机械</w:t>
            </w:r>
            <w:r>
              <w:rPr>
                <w:rFonts w:hint="eastAsia" w:eastAsia="仿宋_GB2312"/>
                <w:sz w:val="24"/>
              </w:rPr>
              <w:t>工程领域高层次人才，能胜任高等教育、科学研究和</w:t>
            </w:r>
            <w:r>
              <w:rPr>
                <w:rFonts w:hint="eastAsia" w:eastAsia="仿宋_GB2312"/>
                <w:sz w:val="24"/>
                <w:lang w:val="en-US" w:eastAsia="zh-Hans"/>
              </w:rPr>
              <w:t>生产制造</w:t>
            </w:r>
            <w:r>
              <w:rPr>
                <w:rFonts w:hint="eastAsia" w:eastAsia="仿宋_GB2312"/>
                <w:sz w:val="24"/>
              </w:rPr>
              <w:t>的设计与技术、管理等方面的工作。 </w:t>
            </w:r>
          </w:p>
          <w:p>
            <w:pPr>
              <w:spacing w:line="360" w:lineRule="auto"/>
              <w:ind w:firstLine="480" w:firstLineChars="200"/>
              <w:rPr>
                <w:rFonts w:hint="eastAsia" w:eastAsia="仿宋_GB2312"/>
                <w:sz w:val="24"/>
              </w:rPr>
            </w:pPr>
            <w:r>
              <w:rPr>
                <w:rFonts w:hint="eastAsia" w:eastAsia="仿宋_GB2312"/>
                <w:sz w:val="24"/>
              </w:rPr>
              <w:t>培养内容：①</w:t>
            </w:r>
            <w:r>
              <w:rPr>
                <w:rFonts w:hint="eastAsia" w:eastAsia="仿宋_GB2312"/>
                <w:sz w:val="24"/>
                <w:lang w:val="en-US" w:eastAsia="zh-Hans"/>
              </w:rPr>
              <w:t>现代机械设计与分析</w:t>
            </w:r>
            <w:r>
              <w:rPr>
                <w:rFonts w:hint="eastAsia" w:eastAsia="仿宋_GB2312"/>
                <w:sz w:val="24"/>
              </w:rPr>
              <w:t>理论与技术；         </w:t>
            </w:r>
          </w:p>
          <w:p>
            <w:pPr>
              <w:spacing w:line="360" w:lineRule="auto"/>
              <w:ind w:firstLine="1560" w:firstLineChars="650"/>
              <w:rPr>
                <w:rFonts w:hint="eastAsia" w:eastAsia="仿宋_GB2312"/>
                <w:sz w:val="24"/>
              </w:rPr>
            </w:pPr>
            <w:r>
              <w:rPr>
                <w:rFonts w:hint="eastAsia" w:eastAsia="仿宋_GB2312"/>
                <w:sz w:val="24"/>
              </w:rPr>
              <w:t>  ②</w:t>
            </w:r>
            <w:r>
              <w:rPr>
                <w:rFonts w:hint="eastAsia" w:eastAsia="仿宋_GB2312"/>
                <w:sz w:val="24"/>
                <w:lang w:val="en-US" w:eastAsia="zh-Hans"/>
              </w:rPr>
              <w:t>高端机电产品及</w:t>
            </w:r>
            <w:r>
              <w:rPr>
                <w:rFonts w:hint="eastAsia" w:eastAsia="仿宋_GB2312"/>
                <w:sz w:val="24"/>
              </w:rPr>
              <w:t>设备研发； </w:t>
            </w:r>
          </w:p>
          <w:p>
            <w:pPr>
              <w:spacing w:line="360" w:lineRule="auto"/>
              <w:ind w:firstLine="480" w:firstLineChars="200"/>
              <w:rPr>
                <w:rFonts w:hint="eastAsia" w:eastAsia="仿宋_GB2312"/>
                <w:sz w:val="24"/>
              </w:rPr>
            </w:pPr>
            <w:r>
              <w:rPr>
                <w:rFonts w:hint="eastAsia" w:eastAsia="仿宋_GB2312"/>
                <w:sz w:val="24"/>
              </w:rPr>
              <w:t>          </w:t>
            </w:r>
            <w:r>
              <w:rPr>
                <w:rFonts w:hint="default" w:eastAsia="仿宋_GB2312"/>
                <w:sz w:val="24"/>
              </w:rPr>
              <w:t xml:space="preserve">     </w:t>
            </w:r>
            <w:r>
              <w:rPr>
                <w:rFonts w:hint="eastAsia" w:eastAsia="仿宋_GB2312"/>
                <w:sz w:val="24"/>
              </w:rPr>
              <w:t>③</w:t>
            </w:r>
            <w:r>
              <w:rPr>
                <w:rFonts w:hint="eastAsia" w:eastAsia="仿宋_GB2312"/>
                <w:sz w:val="24"/>
                <w:lang w:val="en-US" w:eastAsia="zh-Hans"/>
              </w:rPr>
              <w:t>智能制造及制造工艺</w:t>
            </w:r>
            <w:r>
              <w:rPr>
                <w:rFonts w:hint="eastAsia" w:eastAsia="仿宋_GB2312"/>
                <w:sz w:val="24"/>
              </w:rPr>
              <w:t>理论与技术。 </w:t>
            </w:r>
          </w:p>
          <w:p>
            <w:pPr>
              <w:spacing w:line="360" w:lineRule="auto"/>
              <w:ind w:firstLine="480" w:firstLineChars="200"/>
              <w:rPr>
                <w:rFonts w:hint="eastAsia" w:eastAsia="仿宋_GB2312"/>
                <w:sz w:val="24"/>
              </w:rPr>
            </w:pPr>
            <w:r>
              <w:rPr>
                <w:rFonts w:hint="eastAsia" w:eastAsia="仿宋_GB2312"/>
                <w:sz w:val="24"/>
              </w:rPr>
              <w:t>培养地点：企业研究生工作站，</w:t>
            </w:r>
            <w:r>
              <w:rPr>
                <w:rFonts w:hint="eastAsia" w:eastAsia="仿宋_GB2312"/>
                <w:sz w:val="24"/>
                <w:lang w:val="en-US" w:eastAsia="zh-Hans"/>
              </w:rPr>
              <w:t>乐惠南京公司</w:t>
            </w:r>
            <w:r>
              <w:rPr>
                <w:rFonts w:hint="eastAsia" w:eastAsia="仿宋_GB2312"/>
                <w:sz w:val="24"/>
              </w:rPr>
              <w:t>。 </w:t>
            </w:r>
          </w:p>
          <w:p>
            <w:pPr>
              <w:spacing w:line="360" w:lineRule="auto"/>
              <w:ind w:firstLine="480" w:firstLineChars="200"/>
              <w:rPr>
                <w:rFonts w:eastAsia="仿宋_GB2312"/>
                <w:sz w:val="24"/>
              </w:rPr>
            </w:pPr>
            <w:r>
              <w:rPr>
                <w:rFonts w:hint="eastAsia" w:eastAsia="仿宋_GB2312"/>
                <w:sz w:val="24"/>
              </w:rPr>
              <w:t>培养时间：</w:t>
            </w:r>
            <w:r>
              <w:rPr>
                <w:rFonts w:eastAsia="仿宋_GB2312"/>
                <w:sz w:val="24"/>
              </w:rPr>
              <w:t>南京</w:t>
            </w:r>
            <w:r>
              <w:rPr>
                <w:rFonts w:hint="eastAsia" w:eastAsia="仿宋_GB2312"/>
                <w:sz w:val="24"/>
              </w:rPr>
              <w:t>乐惠计划2</w:t>
            </w:r>
            <w:r>
              <w:rPr>
                <w:rFonts w:eastAsia="仿宋_GB2312"/>
                <w:sz w:val="24"/>
              </w:rPr>
              <w:t>022年至</w:t>
            </w:r>
            <w:r>
              <w:rPr>
                <w:rFonts w:hint="eastAsia" w:eastAsia="仿宋_GB2312"/>
                <w:sz w:val="24"/>
              </w:rPr>
              <w:t>2</w:t>
            </w:r>
            <w:r>
              <w:rPr>
                <w:rFonts w:eastAsia="仿宋_GB2312"/>
                <w:sz w:val="24"/>
              </w:rPr>
              <w:t>026年引进</w:t>
            </w:r>
            <w:r>
              <w:rPr>
                <w:rFonts w:hint="eastAsia" w:eastAsia="仿宋_GB2312"/>
                <w:sz w:val="24"/>
              </w:rPr>
              <w:t>8名研究生进站，其中每年2名研究生进站，2名研究生出站。</w:t>
            </w:r>
          </w:p>
          <w:p>
            <w:pPr>
              <w:spacing w:line="360" w:lineRule="auto"/>
              <w:ind w:firstLine="480" w:firstLineChars="200"/>
              <w:rPr>
                <w:rFonts w:eastAsia="仿宋_GB2312"/>
                <w:sz w:val="24"/>
              </w:rPr>
            </w:pPr>
            <w:r>
              <w:rPr>
                <w:rFonts w:hint="eastAsia" w:eastAsia="仿宋_GB2312"/>
                <w:sz w:val="24"/>
              </w:rPr>
              <w:t>南京乐惠主营产品有灌装机、杀菌机、洗瓶机，南京乐惠计划和东南大学针对主营产品项目开展合作：</w:t>
            </w:r>
          </w:p>
          <w:p>
            <w:pPr>
              <w:spacing w:line="360" w:lineRule="auto"/>
              <w:ind w:firstLine="482" w:firstLineChars="200"/>
              <w:rPr>
                <w:rFonts w:eastAsia="仿宋_GB2312"/>
                <w:b/>
                <w:sz w:val="24"/>
              </w:rPr>
            </w:pPr>
            <w:r>
              <w:rPr>
                <w:rFonts w:eastAsia="仿宋_GB2312"/>
                <w:b/>
                <w:sz w:val="24"/>
              </w:rPr>
              <w:t>1</w:t>
            </w:r>
            <w:r>
              <w:rPr>
                <w:rFonts w:hint="eastAsia" w:eastAsia="仿宋_GB2312"/>
                <w:b/>
                <w:sz w:val="24"/>
              </w:rPr>
              <w:t>）主营产品工艺合作方案</w:t>
            </w:r>
          </w:p>
          <w:p>
            <w:pPr>
              <w:spacing w:line="360" w:lineRule="auto"/>
              <w:rPr>
                <w:rFonts w:eastAsia="仿宋_GB2312"/>
                <w:sz w:val="24"/>
              </w:rPr>
            </w:pPr>
            <w:r>
              <w:rPr>
                <w:rFonts w:hint="eastAsia" w:eastAsia="仿宋_GB2312"/>
                <w:sz w:val="24"/>
              </w:rPr>
              <w:t xml:space="preserve"> </w:t>
            </w:r>
            <w:r>
              <w:rPr>
                <w:rFonts w:eastAsia="仿宋_GB2312"/>
                <w:sz w:val="24"/>
              </w:rPr>
              <w:t xml:space="preserve">  南京乐惠希望东南大学设计符合我司生产工艺的机器人，如焊接机器人等。</w:t>
            </w:r>
          </w:p>
          <w:p>
            <w:pPr>
              <w:tabs>
                <w:tab w:val="left" w:pos="3680"/>
              </w:tabs>
              <w:spacing w:line="360" w:lineRule="auto"/>
              <w:ind w:firstLine="482" w:firstLineChars="200"/>
              <w:rPr>
                <w:rFonts w:eastAsia="仿宋_GB2312"/>
                <w:b/>
                <w:sz w:val="24"/>
              </w:rPr>
            </w:pPr>
            <w:r>
              <w:rPr>
                <w:rFonts w:hint="eastAsia" w:eastAsia="仿宋_GB2312"/>
                <w:b/>
                <w:sz w:val="24"/>
              </w:rPr>
              <w:t>2）联合承担科研项目</w:t>
            </w:r>
          </w:p>
          <w:p>
            <w:pPr>
              <w:spacing w:line="360" w:lineRule="auto"/>
              <w:rPr>
                <w:rFonts w:eastAsia="仿宋_GB2312"/>
                <w:b/>
                <w:sz w:val="24"/>
              </w:rPr>
            </w:pPr>
            <w:r>
              <w:rPr>
                <w:rFonts w:hint="eastAsia" w:eastAsia="仿宋_GB2312"/>
                <w:b/>
                <w:sz w:val="24"/>
              </w:rPr>
              <w:t xml:space="preserve"> </w:t>
            </w:r>
            <w:r>
              <w:rPr>
                <w:rFonts w:eastAsia="仿宋_GB2312"/>
                <w:b/>
                <w:sz w:val="24"/>
              </w:rPr>
              <w:t xml:space="preserve"> </w:t>
            </w:r>
            <w:r>
              <w:rPr>
                <w:rFonts w:eastAsia="仿宋_GB2312"/>
                <w:sz w:val="24"/>
              </w:rPr>
              <w:t xml:space="preserve">  南京乐惠将和东南大学紧密合作，联合承担科研项目，共同开展研究。</w:t>
            </w:r>
          </w:p>
          <w:p>
            <w:pPr>
              <w:tabs>
                <w:tab w:val="left" w:pos="3680"/>
              </w:tabs>
              <w:spacing w:line="360" w:lineRule="auto"/>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4" w:hRule="atLeast"/>
          <w:jc w:val="center"/>
        </w:trPr>
        <w:tc>
          <w:tcPr>
            <w:tcW w:w="3044"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申请设站单位意见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480" w:firstLineChars="200"/>
              <w:rPr>
                <w:rFonts w:eastAsia="仿宋_GB2312"/>
                <w:sz w:val="24"/>
              </w:rPr>
            </w:pPr>
            <w:r>
              <w:rPr>
                <w:rFonts w:eastAsia="仿宋_GB2312"/>
                <w:sz w:val="24"/>
              </w:rPr>
              <w:t>年    月    日</w:t>
            </w:r>
          </w:p>
        </w:tc>
        <w:tc>
          <w:tcPr>
            <w:tcW w:w="2977" w:type="dxa"/>
            <w:gridSpan w:val="3"/>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高校所属院系意见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360" w:firstLineChars="150"/>
              <w:rPr>
                <w:szCs w:val="21"/>
              </w:rPr>
            </w:pPr>
            <w:r>
              <w:rPr>
                <w:rFonts w:eastAsia="仿宋_GB2312"/>
                <w:sz w:val="24"/>
              </w:rPr>
              <w:t>年    月    日</w:t>
            </w:r>
          </w:p>
        </w:tc>
        <w:tc>
          <w:tcPr>
            <w:tcW w:w="3532"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720" w:firstLineChars="300"/>
              <w:rPr>
                <w:szCs w:val="21"/>
              </w:rPr>
            </w:pPr>
            <w:r>
              <w:rPr>
                <w:rFonts w:eastAsia="仿宋_GB2312"/>
                <w:sz w:val="24"/>
              </w:rPr>
              <w:t>年    月    日</w:t>
            </w:r>
          </w:p>
        </w:tc>
      </w:tr>
    </w:tbl>
    <w:p/>
    <w:sectPr>
      <w:pgSz w:w="11906" w:h="16838"/>
      <w:pgMar w:top="1440" w:right="1800" w:bottom="198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简体">
    <w:altName w:val="宋体"/>
    <w:panose1 w:val="00000000000000000000"/>
    <w:charset w:val="86"/>
    <w:family w:val="script"/>
    <w:pitch w:val="default"/>
    <w:sig w:usb0="00000000" w:usb1="00000000" w:usb2="0000001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717B5"/>
    <w:multiLevelType w:val="multilevel"/>
    <w:tmpl w:val="1A1717B5"/>
    <w:lvl w:ilvl="0" w:tentative="0">
      <w:start w:val="1"/>
      <w:numFmt w:val="decimal"/>
      <w:lvlText w:val="%1."/>
      <w:lvlJc w:val="left"/>
      <w:pPr>
        <w:ind w:left="600" w:hanging="360"/>
      </w:pPr>
      <w:rPr>
        <w:rFonts w:hint="default"/>
        <w:sz w:val="24"/>
        <w:szCs w:val="24"/>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EE"/>
    <w:rsid w:val="000333FC"/>
    <w:rsid w:val="00047F69"/>
    <w:rsid w:val="000A6420"/>
    <w:rsid w:val="000A688F"/>
    <w:rsid w:val="001802CF"/>
    <w:rsid w:val="00255FFC"/>
    <w:rsid w:val="003B236D"/>
    <w:rsid w:val="003C383B"/>
    <w:rsid w:val="004A6EC5"/>
    <w:rsid w:val="004E754A"/>
    <w:rsid w:val="005322AA"/>
    <w:rsid w:val="00584A36"/>
    <w:rsid w:val="00586F75"/>
    <w:rsid w:val="006749E4"/>
    <w:rsid w:val="006B10B3"/>
    <w:rsid w:val="006F209C"/>
    <w:rsid w:val="00784965"/>
    <w:rsid w:val="007A0A69"/>
    <w:rsid w:val="0086381B"/>
    <w:rsid w:val="008B29BC"/>
    <w:rsid w:val="009220CE"/>
    <w:rsid w:val="00925733"/>
    <w:rsid w:val="009C3A62"/>
    <w:rsid w:val="00A031FD"/>
    <w:rsid w:val="00BE456C"/>
    <w:rsid w:val="00C1628D"/>
    <w:rsid w:val="00C660B0"/>
    <w:rsid w:val="00D01889"/>
    <w:rsid w:val="00D36916"/>
    <w:rsid w:val="00DC08E3"/>
    <w:rsid w:val="00F14EEE"/>
    <w:rsid w:val="00F679C6"/>
    <w:rsid w:val="00F85C85"/>
    <w:rsid w:val="AF5909ED"/>
    <w:rsid w:val="F9F1E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character" w:customStyle="1" w:styleId="5">
    <w:name w:val="页脚 字符"/>
    <w:basedOn w:val="3"/>
    <w:semiHidden/>
    <w:qFormat/>
    <w:uiPriority w:val="99"/>
    <w:rPr>
      <w:rFonts w:ascii="Times New Roman" w:hAnsi="Times New Roman" w:eastAsia="宋体" w:cs="Times New Roman"/>
      <w:sz w:val="18"/>
      <w:szCs w:val="18"/>
    </w:rPr>
  </w:style>
  <w:style w:type="character" w:customStyle="1" w:styleId="6">
    <w:name w:val="页脚 Char"/>
    <w:link w:val="2"/>
    <w:qFormat/>
    <w:uiPriority w:val="99"/>
    <w:rPr>
      <w:rFonts w:ascii="Times New Roman" w:hAnsi="Times New Roman" w:eastAsia="宋体" w:cs="Times New Roman"/>
      <w:sz w:val="18"/>
      <w:szCs w:val="18"/>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582</Words>
  <Characters>3323</Characters>
  <Lines>27</Lines>
  <Paragraphs>7</Paragraphs>
  <TotalTime>0</TotalTime>
  <ScaleCrop>false</ScaleCrop>
  <LinksUpToDate>false</LinksUpToDate>
  <CharactersWithSpaces>3898</CharactersWithSpaces>
  <Application>WPS Office_2.6.1.4274_F1E327BC-269C-435d-A152-05C5408002CA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2021-07-05T16:19:00Z</dcterms:created>
  <dc:creator>曹蕾</dc:creator>
  <cp:lastModifiedBy>xiaoliqiu</cp:lastModifiedBy>
  <dcterms:modified xsi:type="dcterms:W3CDTF">2021-07-11T10:00:10Z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0x0101005610FD0264F859448189F3DD25EE710B</vt:lpwstr>
  </property>
  <property fmtid="{D5CDD505-2E9C-101B-9397-08002B2CF9AE}" pid="3" name="KSOProductBuildVer">
    <vt:lpwstr>2052-2.6.1.4274</vt:lpwstr>
  </property>
</Properties>
</file>